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43E17" w14:textId="77777777" w:rsidR="00722B8B" w:rsidRPr="00D41B96" w:rsidRDefault="00722B8B" w:rsidP="00722B8B">
      <w:pPr>
        <w:widowControl w:val="0"/>
        <w:spacing w:after="0" w:line="210" w:lineRule="exact"/>
        <w:rPr>
          <w:rFonts w:ascii="Times New Roman" w:eastAsia="Bookman Old Style" w:hAnsi="Times New Roman" w:cs="Times New Roman"/>
          <w:b/>
          <w:bCs/>
          <w:lang w:val="ro-RO"/>
        </w:rPr>
      </w:pPr>
      <w:r w:rsidRPr="00D41B96">
        <w:rPr>
          <w:rFonts w:ascii="Times New Roman" w:eastAsia="Bookman Old Style" w:hAnsi="Times New Roman" w:cs="Times New Roman"/>
          <w:b/>
          <w:bCs/>
          <w:lang w:val="ro-RO" w:eastAsia="es-ES" w:bidi="es-ES"/>
        </w:rPr>
        <w:t>Anexa 1</w:t>
      </w:r>
    </w:p>
    <w:p w14:paraId="31FEC72F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162C185A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34AEEE5B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D41B96">
        <w:rPr>
          <w:rFonts w:ascii="Times New Roman" w:eastAsia="Times New Roman" w:hAnsi="Times New Roman" w:cs="Times New Roman"/>
          <w:b/>
          <w:lang w:val="ro-RO"/>
        </w:rPr>
        <w:t>DECLARAȚIE</w:t>
      </w:r>
    </w:p>
    <w:p w14:paraId="35FAD6FD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73167366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D41B96">
        <w:rPr>
          <w:rFonts w:ascii="Times New Roman" w:eastAsia="Times New Roman" w:hAnsi="Times New Roman" w:cs="Times New Roman"/>
          <w:b/>
          <w:lang w:val="ro-RO"/>
        </w:rPr>
        <w:t>privind asumarea autenticității materialului și respectarea prevederilor legale din domeniul</w:t>
      </w:r>
    </w:p>
    <w:p w14:paraId="3F55FD27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D41B96">
        <w:rPr>
          <w:rFonts w:ascii="Times New Roman" w:eastAsia="Times New Roman" w:hAnsi="Times New Roman" w:cs="Times New Roman"/>
          <w:b/>
          <w:lang w:val="ro-RO"/>
        </w:rPr>
        <w:t>dreptului de autor și drepturile conexe</w:t>
      </w:r>
    </w:p>
    <w:p w14:paraId="60DD86A0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2D829094" w14:textId="77777777" w:rsidR="00722B8B" w:rsidRPr="00D41B96" w:rsidRDefault="00722B8B" w:rsidP="00722B8B">
      <w:pPr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04F13930" w14:textId="77777777" w:rsidR="00722B8B" w:rsidRPr="00D41B96" w:rsidRDefault="00722B8B" w:rsidP="009E0ACC">
      <w:pPr>
        <w:widowControl w:val="0"/>
        <w:tabs>
          <w:tab w:val="left" w:leader="dot" w:pos="4142"/>
        </w:tabs>
        <w:spacing w:after="0" w:line="360" w:lineRule="auto"/>
        <w:ind w:right="349" w:firstLine="1560"/>
        <w:rPr>
          <w:rFonts w:ascii="Times New Roman" w:eastAsia="Bookman Old Style" w:hAnsi="Times New Roman" w:cs="Times New Roman"/>
          <w:lang w:val="ro-RO"/>
        </w:rPr>
      </w:pPr>
      <w:r w:rsidRPr="00D41B96">
        <w:rPr>
          <w:rFonts w:ascii="Times New Roman" w:eastAsia="Bookman Old Style" w:hAnsi="Times New Roman" w:cs="Times New Roman"/>
          <w:lang w:val="ro-RO"/>
        </w:rPr>
        <w:t>Subsemnat</w:t>
      </w:r>
      <w:r w:rsidR="009E0ACC">
        <w:rPr>
          <w:rFonts w:ascii="Times New Roman" w:eastAsia="Bookman Old Style" w:hAnsi="Times New Roman" w:cs="Times New Roman"/>
          <w:lang w:val="ro-RO"/>
        </w:rPr>
        <w:t>a/Subsemnatul,  SALA GINA LOREDANA, cadru didactic la ȘCOALA GIMNAZIALĂ ”DACIA”, localitatea ORADEA</w:t>
      </w:r>
      <w:r w:rsidRPr="00D41B96">
        <w:rPr>
          <w:rFonts w:ascii="Times New Roman" w:eastAsia="Bookman Old Style" w:hAnsi="Times New Roman" w:cs="Times New Roman"/>
          <w:lang w:val="ro-RO"/>
        </w:rPr>
        <w:t>, județul Bihor, spe</w:t>
      </w:r>
      <w:r w:rsidR="009E0ACC">
        <w:rPr>
          <w:rFonts w:ascii="Times New Roman" w:eastAsia="Bookman Old Style" w:hAnsi="Times New Roman" w:cs="Times New Roman"/>
          <w:lang w:val="ro-RO"/>
        </w:rPr>
        <w:t xml:space="preserve">cialitatea LIMBA ȘI LITERATURA ROMÂNĂ, </w:t>
      </w:r>
      <w:r w:rsidRPr="00D41B96">
        <w:rPr>
          <w:rFonts w:ascii="Times New Roman" w:eastAsia="Bookman Old Style" w:hAnsi="Times New Roman" w:cs="Times New Roman"/>
          <w:lang w:val="ro-RO"/>
        </w:rPr>
        <w:t>legitimat cu B</w:t>
      </w:r>
      <w:r w:rsidR="009E0ACC">
        <w:rPr>
          <w:rFonts w:ascii="Times New Roman" w:eastAsia="Bookman Old Style" w:hAnsi="Times New Roman" w:cs="Times New Roman"/>
          <w:lang w:val="ro-RO"/>
        </w:rPr>
        <w:t xml:space="preserve">.I./C.I, seria ZH, </w:t>
      </w:r>
      <w:r w:rsidRPr="00D41B96">
        <w:rPr>
          <w:rFonts w:ascii="Times New Roman" w:eastAsia="Bookman Old Style" w:hAnsi="Times New Roman" w:cs="Times New Roman"/>
          <w:lang w:val="ro-RO"/>
        </w:rPr>
        <w:t xml:space="preserve"> nr</w:t>
      </w:r>
      <w:r w:rsidR="009E0ACC">
        <w:rPr>
          <w:rFonts w:ascii="Times New Roman" w:eastAsia="Bookman Old Style" w:hAnsi="Times New Roman" w:cs="Times New Roman"/>
          <w:lang w:val="ro-RO"/>
        </w:rPr>
        <w:t xml:space="preserve"> 494605</w:t>
      </w:r>
      <w:r w:rsidRPr="00D41B96">
        <w:rPr>
          <w:rFonts w:ascii="Times New Roman" w:eastAsia="Bookman Old Style" w:hAnsi="Times New Roman" w:cs="Times New Roman"/>
          <w:lang w:val="ro-RO"/>
        </w:rPr>
        <w:t>, declar prin prezenta că resursa</w:t>
      </w:r>
      <w:r w:rsidR="009E0ACC">
        <w:rPr>
          <w:rFonts w:ascii="Times New Roman" w:eastAsia="Bookman Old Style" w:hAnsi="Times New Roman" w:cs="Times New Roman"/>
          <w:lang w:val="ro-RO"/>
        </w:rPr>
        <w:t xml:space="preserve"> educațională cu titlul FUNCȚIILE SINTACTICE ALE ADVERBELOR ȘI LOCUȚIUNILOR ADVERBIALE, </w:t>
      </w:r>
      <w:r w:rsidRPr="00D41B96">
        <w:rPr>
          <w:rFonts w:ascii="Times New Roman" w:eastAsia="Bookman Old Style" w:hAnsi="Times New Roman" w:cs="Times New Roman"/>
          <w:color w:val="000000"/>
          <w:lang w:val="ro-RO"/>
        </w:rPr>
        <w:t>realiza</w:t>
      </w:r>
      <w:r w:rsidR="009E0ACC">
        <w:rPr>
          <w:rFonts w:ascii="Times New Roman" w:eastAsia="Bookman Old Style" w:hAnsi="Times New Roman" w:cs="Times New Roman"/>
          <w:color w:val="000000"/>
          <w:lang w:val="ro-RO"/>
        </w:rPr>
        <w:t>tă în format WORDWALL</w:t>
      </w:r>
      <w:r w:rsidRPr="00D41B96">
        <w:rPr>
          <w:rFonts w:ascii="Times New Roman" w:eastAsia="Bookman Old Style" w:hAnsi="Times New Roman" w:cs="Times New Roman"/>
          <w:color w:val="000000"/>
          <w:lang w:val="ro-RO"/>
        </w:rPr>
        <w:t xml:space="preserve"> îmi </w:t>
      </w:r>
      <w:r w:rsidRPr="00D41B96">
        <w:rPr>
          <w:rFonts w:ascii="Times New Roman" w:eastAsia="Bookman Old Style" w:hAnsi="Times New Roman" w:cs="Times New Roman"/>
          <w:lang w:val="ro-RO"/>
        </w:rPr>
        <w:t>aparține și că aceasta respectă prevederile</w:t>
      </w:r>
      <w:r w:rsidR="009E0ACC">
        <w:rPr>
          <w:rFonts w:ascii="Times New Roman" w:eastAsia="Bookman Old Style" w:hAnsi="Times New Roman" w:cs="Times New Roman"/>
          <w:lang w:val="ro-RO"/>
        </w:rPr>
        <w:t xml:space="preserve"> </w:t>
      </w:r>
      <w:r w:rsidRPr="00D41B96">
        <w:rPr>
          <w:rFonts w:ascii="Times New Roman" w:eastAsia="Bookman Old Style" w:hAnsi="Times New Roman" w:cs="Times New Roman"/>
          <w:lang w:val="ro-RO"/>
        </w:rPr>
        <w:t>legale în vigoare din domeniul dreptului de autor și drepturile conexe.</w:t>
      </w:r>
    </w:p>
    <w:p w14:paraId="352B9B7D" w14:textId="77777777" w:rsidR="00722B8B" w:rsidRPr="00D41B96" w:rsidRDefault="00722B8B" w:rsidP="00722B8B">
      <w:pPr>
        <w:widowControl w:val="0"/>
        <w:spacing w:after="949" w:line="562" w:lineRule="exact"/>
        <w:ind w:firstLine="840"/>
        <w:rPr>
          <w:rFonts w:ascii="Times New Roman" w:eastAsia="Bookman Old Style" w:hAnsi="Times New Roman" w:cs="Times New Roman"/>
          <w:lang w:val="ro-RO"/>
        </w:rPr>
      </w:pPr>
      <w:r w:rsidRPr="00D41B96">
        <w:rPr>
          <w:rFonts w:ascii="Times New Roman" w:eastAsia="Bookman Old Style" w:hAnsi="Times New Roman" w:cs="Times New Roman"/>
          <w:lang w:val="ro-RO"/>
        </w:rPr>
        <w:t xml:space="preserve">Sunt de acord cu utilizarea ei de către cadre didactice în procesul educațional, în situația în care aceasta va fi selectată de către ISJ. BH și publicată pe platforma online </w:t>
      </w:r>
      <w:hyperlink r:id="rId4" w:history="1">
        <w:r w:rsidRPr="00D41B96">
          <w:rPr>
            <w:rFonts w:ascii="Times New Roman" w:eastAsia="Bookman Old Style" w:hAnsi="Times New Roman" w:cs="Times New Roman"/>
            <w:color w:val="0066CC"/>
            <w:u w:val="single"/>
            <w:lang w:val="ro-RO"/>
          </w:rPr>
          <w:t>http://edubh.ro/</w:t>
        </w:r>
      </w:hyperlink>
      <w:r w:rsidRPr="00D41B96">
        <w:rPr>
          <w:rFonts w:ascii="Times New Roman" w:eastAsia="Bookman Old Style" w:hAnsi="Times New Roman" w:cs="Times New Roman"/>
          <w:lang w:val="ro-RO"/>
        </w:rPr>
        <w:t>.</w:t>
      </w:r>
    </w:p>
    <w:p w14:paraId="64F8D4F6" w14:textId="77777777" w:rsidR="00722B8B" w:rsidRPr="00D41B96" w:rsidRDefault="00722B8B" w:rsidP="00722B8B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</w:r>
      <w:r w:rsidRPr="00D41B96">
        <w:rPr>
          <w:rFonts w:ascii="Times New Roman" w:eastAsia="Times New Roman" w:hAnsi="Times New Roman" w:cs="Times New Roman"/>
          <w:lang w:val="ro-RO"/>
        </w:rPr>
        <w:tab/>
        <w:t>Semnătura:</w:t>
      </w:r>
    </w:p>
    <w:p w14:paraId="390ED74E" w14:textId="77777777" w:rsidR="00722B8B" w:rsidRPr="00D41B96" w:rsidRDefault="00722B8B" w:rsidP="00722B8B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D41B96">
        <w:rPr>
          <w:rFonts w:ascii="Times New Roman" w:eastAsia="Times New Roman" w:hAnsi="Times New Roman" w:cs="Times New Roman"/>
          <w:lang w:val="ro-RO"/>
        </w:rPr>
        <w:t>Data:</w:t>
      </w:r>
    </w:p>
    <w:p w14:paraId="0966A16F" w14:textId="77777777" w:rsidR="00722B8B" w:rsidRPr="00D41B96" w:rsidRDefault="00722B8B" w:rsidP="00722B8B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414BC77C" w14:textId="77777777" w:rsidR="00722B8B" w:rsidRPr="00D41B96" w:rsidRDefault="00722B8B" w:rsidP="00722B8B">
      <w:pPr>
        <w:widowControl w:val="0"/>
        <w:spacing w:after="0" w:line="210" w:lineRule="exact"/>
        <w:rPr>
          <w:rFonts w:ascii="Times New Roman" w:eastAsia="Bookman Old Style" w:hAnsi="Times New Roman" w:cs="Times New Roman"/>
          <w:b/>
          <w:bCs/>
          <w:lang w:val="ro-RO"/>
        </w:rPr>
      </w:pPr>
    </w:p>
    <w:p w14:paraId="1330C7AD" w14:textId="77777777" w:rsidR="00DD3B8A" w:rsidRPr="00FD49DD" w:rsidRDefault="00E73D8C">
      <w:pPr>
        <w:rPr>
          <w:lang w:val="pt-BR"/>
        </w:rPr>
      </w:pPr>
      <w:r w:rsidRPr="00FD49DD">
        <w:rPr>
          <w:lang w:val="pt-BR"/>
        </w:rPr>
        <w:t>15.06.2024</w:t>
      </w:r>
    </w:p>
    <w:p w14:paraId="5168F357" w14:textId="77777777" w:rsidR="00722B8B" w:rsidRPr="00FD49DD" w:rsidRDefault="00722B8B" w:rsidP="00722B8B">
      <w:pPr>
        <w:widowControl w:val="0"/>
        <w:spacing w:after="0" w:line="210" w:lineRule="exact"/>
        <w:rPr>
          <w:lang w:val="pt-BR"/>
        </w:rPr>
      </w:pPr>
    </w:p>
    <w:p w14:paraId="424C32FD" w14:textId="77777777" w:rsidR="00722B8B" w:rsidRPr="00FD49DD" w:rsidRDefault="00722B8B" w:rsidP="00722B8B">
      <w:pPr>
        <w:widowControl w:val="0"/>
        <w:spacing w:after="0" w:line="210" w:lineRule="exact"/>
        <w:rPr>
          <w:lang w:val="pt-BR"/>
        </w:rPr>
      </w:pPr>
    </w:p>
    <w:p w14:paraId="004CDA59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F6131EB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EC4D6F1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076CA39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3838AB20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7109A9DD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AC668D1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8AFD232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C1FB1D1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6F556C0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D0DC398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4154867" w14:textId="77777777" w:rsidR="009E0ACC" w:rsidRDefault="009E0ACC" w:rsidP="00722B8B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F877B60" w14:textId="77777777" w:rsidR="00722B8B" w:rsidRPr="00253C96" w:rsidRDefault="00722B8B" w:rsidP="00722B8B">
      <w:pPr>
        <w:widowControl w:val="0"/>
        <w:spacing w:after="0" w:line="210" w:lineRule="exact"/>
        <w:rPr>
          <w:rFonts w:ascii="Times New Roman" w:eastAsia="Bookman Old Style" w:hAnsi="Times New Roman" w:cs="Times New Roman"/>
          <w:lang w:val="ro-RO"/>
        </w:rPr>
      </w:pPr>
      <w:r w:rsidRPr="00253C96">
        <w:rPr>
          <w:rFonts w:ascii="Times New Roman" w:eastAsia="Times New Roman" w:hAnsi="Times New Roman" w:cs="Times New Roman"/>
          <w:b/>
          <w:bCs/>
          <w:lang w:val="ro-RO"/>
        </w:rPr>
        <w:lastRenderedPageBreak/>
        <w:t xml:space="preserve">Anexa 2 </w:t>
      </w:r>
    </w:p>
    <w:p w14:paraId="2B94D131" w14:textId="77777777" w:rsidR="00722B8B" w:rsidRPr="00253C96" w:rsidRDefault="00722B8B" w:rsidP="00722B8B">
      <w:pPr>
        <w:tabs>
          <w:tab w:val="left" w:pos="26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53C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Fișa de identificare RED</w:t>
      </w:r>
    </w:p>
    <w:p w14:paraId="072A0AF0" w14:textId="77777777" w:rsidR="00722B8B" w:rsidRPr="00253C96" w:rsidRDefault="00722B8B" w:rsidP="00722B8B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  <w:lang w:val="ro-RO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3392"/>
        <w:gridCol w:w="1418"/>
        <w:gridCol w:w="1134"/>
        <w:gridCol w:w="1276"/>
        <w:gridCol w:w="1559"/>
        <w:gridCol w:w="1701"/>
      </w:tblGrid>
      <w:tr w:rsidR="00722B8B" w:rsidRPr="00253C96" w14:paraId="548AE665" w14:textId="77777777" w:rsidTr="006751F6">
        <w:trPr>
          <w:trHeight w:val="273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24D43" w14:textId="77777777" w:rsidR="00722B8B" w:rsidRPr="00253C96" w:rsidRDefault="00722B8B" w:rsidP="0067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I.Date</w:t>
            </w:r>
            <w:proofErr w:type="spellEnd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 generale</w:t>
            </w:r>
          </w:p>
        </w:tc>
      </w:tr>
      <w:tr w:rsidR="00722B8B" w:rsidRPr="00FD49DD" w14:paraId="60D0DA5E" w14:textId="77777777" w:rsidTr="006751F6">
        <w:trPr>
          <w:trHeight w:val="6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8F9F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Titlul resursei educaționale deschise propuse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CC49" w14:textId="77777777" w:rsidR="00722B8B" w:rsidRPr="00253C96" w:rsidRDefault="009E0ACC" w:rsidP="006751F6">
            <w:pPr>
              <w:widowControl w:val="0"/>
              <w:spacing w:after="0" w:line="240" w:lineRule="auto"/>
              <w:ind w:left="566" w:hanging="566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>FUNCȚI</w:t>
            </w:r>
            <w:r w:rsidR="00CE2694">
              <w:rPr>
                <w:rFonts w:ascii="Arial" w:eastAsia="Arial" w:hAnsi="Arial" w:cs="Arial"/>
                <w:b/>
                <w:color w:val="000000"/>
                <w:lang w:val="ro-RO"/>
              </w:rPr>
              <w:t>ILE SINTACTICE ALE ADVERBELOR /</w:t>
            </w: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 LOCUȚIUNILOR ADVERBIALE</w:t>
            </w:r>
          </w:p>
        </w:tc>
      </w:tr>
      <w:tr w:rsidR="00722B8B" w:rsidRPr="00253C96" w14:paraId="0C5B7AF5" w14:textId="77777777" w:rsidTr="006751F6">
        <w:trPr>
          <w:trHeight w:val="33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3DC9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Disciplina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1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9A" w14:textId="77777777" w:rsidR="00722B8B" w:rsidRPr="00253C96" w:rsidRDefault="009E0AC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LIMBA ȘI LITERATURA ROMÂNĂ</w:t>
            </w:r>
          </w:p>
        </w:tc>
      </w:tr>
      <w:tr w:rsidR="00722B8B" w:rsidRPr="00253C96" w14:paraId="6C382E84" w14:textId="77777777" w:rsidTr="006751F6">
        <w:trPr>
          <w:trHeight w:val="24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C8C5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Clasa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2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F726" w14:textId="77777777" w:rsidR="00722B8B" w:rsidRPr="00253C96" w:rsidRDefault="009E0ACC" w:rsidP="006751F6">
            <w:pPr>
              <w:widowControl w:val="0"/>
              <w:spacing w:after="0" w:line="240" w:lineRule="auto"/>
              <w:ind w:left="561" w:hanging="561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>A VII</w:t>
            </w:r>
            <w:r w:rsidR="00CE2694">
              <w:rPr>
                <w:rFonts w:ascii="Arial" w:eastAsia="Arial" w:hAnsi="Arial" w:cs="Arial"/>
                <w:b/>
                <w:color w:val="000000"/>
                <w:lang w:val="ro-RO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lang w:val="ro-RO"/>
              </w:rPr>
              <w:t>-a</w:t>
            </w:r>
          </w:p>
        </w:tc>
      </w:tr>
      <w:tr w:rsidR="00722B8B" w:rsidRPr="00253C96" w14:paraId="3A79A388" w14:textId="77777777" w:rsidTr="006751F6">
        <w:trPr>
          <w:trHeight w:val="33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6342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Autor/Autori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A4A2" w14:textId="77777777" w:rsidR="00722B8B" w:rsidRPr="00253C96" w:rsidRDefault="009E0AC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SALA GINA LOREDANA</w:t>
            </w:r>
          </w:p>
        </w:tc>
      </w:tr>
      <w:tr w:rsidR="00722B8B" w:rsidRPr="00253C96" w14:paraId="412BCF68" w14:textId="77777777" w:rsidTr="006751F6">
        <w:trPr>
          <w:trHeight w:val="331"/>
        </w:trPr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7996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Scopul materialului propus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5FE3" w14:textId="77777777" w:rsidR="00722B8B" w:rsidRPr="00253C96" w:rsidRDefault="00722B8B" w:rsidP="006751F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Didactic - de utilizat la clasa cu elevii/ preșcolarii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574C9F" w14:textId="77777777" w:rsidR="00722B8B" w:rsidRPr="00253C96" w:rsidRDefault="00722B8B" w:rsidP="006751F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Pt elev – de utilizat de către elev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2362B3" w14:textId="77777777" w:rsidR="00722B8B" w:rsidRPr="00253C96" w:rsidRDefault="00722B8B" w:rsidP="006751F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De </w:t>
            </w:r>
            <w:proofErr w:type="spellStart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documen</w:t>
            </w:r>
            <w:proofErr w:type="spellEnd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-tare </w:t>
            </w:r>
            <w:proofErr w:type="spellStart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pt</w:t>
            </w:r>
            <w:proofErr w:type="spellEnd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 cadrele didactice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8E5F4B" w14:textId="77777777" w:rsidR="00722B8B" w:rsidRPr="00253C96" w:rsidRDefault="00722B8B" w:rsidP="006751F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De </w:t>
            </w:r>
            <w:proofErr w:type="spellStart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manage-ment</w:t>
            </w:r>
            <w:proofErr w:type="spellEnd"/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 educațional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EA9A3D" w14:textId="77777777" w:rsidR="00722B8B" w:rsidRPr="00253C96" w:rsidRDefault="00722B8B" w:rsidP="006751F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Altele ...................................... .............</w:t>
            </w:r>
          </w:p>
        </w:tc>
      </w:tr>
      <w:tr w:rsidR="00722B8B" w:rsidRPr="00253C96" w14:paraId="35F807DB" w14:textId="77777777" w:rsidTr="006751F6">
        <w:trPr>
          <w:trHeight w:val="177"/>
        </w:trPr>
        <w:tc>
          <w:tcPr>
            <w:tcW w:w="3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99EE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0E70" w14:textId="77777777" w:rsidR="00722B8B" w:rsidRPr="00253C96" w:rsidRDefault="009E0AC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DCA366" w14:textId="77777777" w:rsidR="00722B8B" w:rsidRPr="00253C96" w:rsidRDefault="009E0AC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75492F" w14:textId="77777777" w:rsidR="00722B8B" w:rsidRPr="00253C96" w:rsidRDefault="009E0AC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8574B5" w14:textId="77777777" w:rsidR="00722B8B" w:rsidRPr="00253C96" w:rsidRDefault="00722B8B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DAF50E" w14:textId="77777777" w:rsidR="00722B8B" w:rsidRPr="00253C96" w:rsidRDefault="00722B8B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722B8B" w:rsidRPr="00FD49DD" w14:paraId="789611DE" w14:textId="77777777" w:rsidTr="006751F6">
        <w:trPr>
          <w:trHeight w:val="229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3A5F" w14:textId="77777777" w:rsidR="00722B8B" w:rsidRPr="00253C96" w:rsidRDefault="00722B8B" w:rsidP="0067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II. Prezentarea resursei educaționale deschise</w:t>
            </w:r>
          </w:p>
        </w:tc>
      </w:tr>
      <w:tr w:rsidR="00722B8B" w:rsidRPr="00FD49DD" w14:paraId="0494201C" w14:textId="77777777" w:rsidTr="006751F6">
        <w:trPr>
          <w:trHeight w:val="49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7D2B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Competența specifică vizată/Indicatori de performanță</w:t>
            </w:r>
            <w:r w:rsidRPr="00253C96">
              <w:rPr>
                <w:rFonts w:ascii="Arial" w:eastAsia="Arial" w:hAnsi="Arial" w:cs="Arial"/>
                <w:b/>
                <w:color w:val="000000"/>
                <w:vertAlign w:val="superscript"/>
                <w:lang w:val="ro-RO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967E" w14:textId="77777777" w:rsidR="00E465E4" w:rsidRDefault="00C87E3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Materialul prezentat este un joc didactic ce  reprezintă o abordare modernă, aplicativă și funcțională a noțiunilor de gramatică.</w:t>
            </w:r>
          </w:p>
          <w:p w14:paraId="1D681846" w14:textId="77777777" w:rsidR="00722B8B" w:rsidRDefault="00621D8B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Jocul are un rol formativ și oferă posibilitatea aflării nivelului la care se află cunoștințele elevilor, fapt ce permite aplicarea unor metode pedagogice optime pentru dezvoltarea procesului instructiv-educativ. </w:t>
            </w:r>
          </w:p>
          <w:p w14:paraId="3D77E743" w14:textId="77777777" w:rsidR="00E465E4" w:rsidRDefault="00E465E4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Jocul este activitatea care implică cel mai mare număr de copii, este distractiv, formează competențe-cheie, exersează deprinderi, consolidează cunoștințe și valorifică potențialul copiilor.</w:t>
            </w:r>
          </w:p>
          <w:p w14:paraId="3BEFB7CD" w14:textId="77777777" w:rsidR="00C87E3C" w:rsidRDefault="00C87E3C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Această activitate aduce în prim plan capacitatea cadrului didactic de a sesiza punctele tari si cele slabe ale elevilor</w:t>
            </w:r>
            <w:r w:rsidR="00FD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dar și modalitatea cea mai eficientă prin care va putea ajunge la performanță.</w:t>
            </w:r>
          </w:p>
          <w:p w14:paraId="766B11BB" w14:textId="77777777" w:rsidR="00FD71D1" w:rsidRPr="00253C96" w:rsidRDefault="00FD71D1" w:rsidP="006751F6">
            <w:pPr>
              <w:spacing w:after="0" w:line="240" w:lineRule="auto"/>
              <w:ind w:left="561" w:hanging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Se consideră că elevii performează dacă: selectează adverbele sau locuțiunile adverbiale și stabilesc corect funcția sintactică.</w:t>
            </w:r>
          </w:p>
        </w:tc>
      </w:tr>
      <w:tr w:rsidR="00722B8B" w:rsidRPr="00253C96" w14:paraId="276D69AC" w14:textId="77777777" w:rsidTr="006751F6">
        <w:trPr>
          <w:trHeight w:val="3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7850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Durata resursei </w:t>
            </w: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(de completat exclusiv pentru resurse video)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59FF" w14:textId="77777777" w:rsidR="00722B8B" w:rsidRPr="00E465E4" w:rsidRDefault="00E465E4" w:rsidP="006751F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color w:val="000000"/>
                <w:lang w:val="ro-RO"/>
              </w:rPr>
            </w:pPr>
            <w:r>
              <w:rPr>
                <w:rFonts w:ascii="Arial" w:eastAsia="Arial" w:hAnsi="Arial" w:cs="Arial"/>
                <w:color w:val="000000"/>
                <w:lang w:val="ro-RO"/>
              </w:rPr>
              <w:t>15 – 30 min</w:t>
            </w:r>
          </w:p>
        </w:tc>
      </w:tr>
      <w:tr w:rsidR="00722B8B" w:rsidRPr="00FD49DD" w14:paraId="7D7321B5" w14:textId="77777777" w:rsidTr="006751F6">
        <w:trPr>
          <w:trHeight w:val="4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C3C0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 xml:space="preserve">Scurtă prezentare a resursei educaționale deschise propuse </w:t>
            </w: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(10-15 rânduri)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758A" w14:textId="77777777" w:rsidR="00722B8B" w:rsidRPr="00CE2694" w:rsidRDefault="00FD71D1" w:rsidP="0067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Materialul este o resursă educațională interactivă , un joc didactic cu jetoane. Elevul va întoarce jetonul electronic, va citi enunțul scris pe el, va identifica adverbul sau locuțiunea adverbială, iar apoi va stabili funcția sintactică a acestora. </w:t>
            </w:r>
          </w:p>
          <w:p w14:paraId="26D71257" w14:textId="77777777" w:rsidR="00FD71D1" w:rsidRPr="00CE2694" w:rsidRDefault="00FD71D1" w:rsidP="0067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Pe lângă enunțurile în care sunt evidențiate adverbe sau locuțiuni adverbiale, materialul mai cupr</w:t>
            </w:r>
            <w:r w:rsid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inde și o parte introductivă unde se găsesc elemente de teorie</w:t>
            </w:r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legate de această parte de vorbire (definiție, clasificare, funcții sintactice, grade de comparați</w:t>
            </w:r>
            <w:r w:rsid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).</w:t>
            </w:r>
          </w:p>
          <w:p w14:paraId="23E759F7" w14:textId="77777777" w:rsidR="003117B6" w:rsidRPr="00253C96" w:rsidRDefault="003117B6" w:rsidP="0067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ro-RO"/>
              </w:rPr>
            </w:pPr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Jocul  nu se rezumă doar la întoarcerea jetoanelor electronice, ci oferă  și posibilitatea  de a varia. Enunțurile pot fi redate și cu ajutorul  unei roți ce trebuie învârtită („Spin </w:t>
            </w:r>
            <w:proofErr w:type="spellStart"/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wheel</w:t>
            </w:r>
            <w:proofErr w:type="spellEnd"/>
            <w:r w:rsidRPr="00CE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”), prin intermediul unor ”carduri vorbitoare” sau deschizând diferite cutii postate pe un panou, în spatele cărora vor descoperi  enunțurile ce cuprind adverbe sau locuțiuni adverbiale.</w:t>
            </w:r>
          </w:p>
        </w:tc>
      </w:tr>
      <w:tr w:rsidR="00722B8B" w:rsidRPr="00FD49DD" w14:paraId="6935AAB3" w14:textId="77777777" w:rsidTr="006751F6">
        <w:trPr>
          <w:trHeight w:val="101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19CF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lastRenderedPageBreak/>
              <w:t>Elemente agregate (</w:t>
            </w:r>
            <w:r w:rsidRPr="00253C96">
              <w:rPr>
                <w:rFonts w:ascii="Arial" w:eastAsia="Arial" w:hAnsi="Arial" w:cs="Arial"/>
                <w:i/>
                <w:color w:val="000000"/>
                <w:lang w:val="ro-RO"/>
              </w:rPr>
              <w:t>link-uri la resursele utilizate ca părți componente în construcția resursei, acolo unde este cazul)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58A5" w14:textId="25913C46" w:rsidR="00722B8B" w:rsidRDefault="00FD49DD" w:rsidP="006751F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hyperlink r:id="rId5" w:history="1">
              <w:r w:rsidRPr="00140EFF">
                <w:rPr>
                  <w:rStyle w:val="Hyperlink"/>
                  <w:rFonts w:ascii="Arial" w:eastAsia="Arial" w:hAnsi="Arial" w:cs="Arial"/>
                  <w:i/>
                  <w:lang w:val="ro-RO"/>
                </w:rPr>
                <w:t>https://wordwall.net/resource/76005976</w:t>
              </w:r>
            </w:hyperlink>
          </w:p>
          <w:p w14:paraId="0AA7FA30" w14:textId="0E666917" w:rsidR="00FD49DD" w:rsidRPr="00253C96" w:rsidRDefault="00FD49DD" w:rsidP="006751F6">
            <w:pPr>
              <w:spacing w:after="0" w:line="240" w:lineRule="auto"/>
              <w:ind w:left="561" w:hanging="561"/>
              <w:jc w:val="both"/>
              <w:rPr>
                <w:rFonts w:ascii="Arial" w:eastAsia="Arial" w:hAnsi="Arial" w:cs="Arial"/>
                <w:i/>
                <w:color w:val="000000"/>
                <w:lang w:val="ro-RO"/>
              </w:rPr>
            </w:pPr>
          </w:p>
        </w:tc>
      </w:tr>
      <w:tr w:rsidR="00722B8B" w:rsidRPr="00253C96" w14:paraId="6CCC806B" w14:textId="77777777" w:rsidTr="006751F6">
        <w:trPr>
          <w:trHeight w:val="398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75C2" w14:textId="77777777" w:rsidR="00722B8B" w:rsidRPr="00253C96" w:rsidRDefault="00722B8B" w:rsidP="0067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/>
              <w:jc w:val="center"/>
              <w:rPr>
                <w:rFonts w:ascii="Arial" w:eastAsia="Arial" w:hAnsi="Arial" w:cs="Arial"/>
                <w:i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III. Comentarii</w:t>
            </w:r>
          </w:p>
        </w:tc>
      </w:tr>
      <w:tr w:rsidR="00722B8B" w:rsidRPr="00FD49DD" w14:paraId="2F04C5E0" w14:textId="77777777" w:rsidTr="006751F6">
        <w:trPr>
          <w:trHeight w:val="30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8D1E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b/>
                <w:color w:val="000000"/>
                <w:lang w:val="ro-RO"/>
              </w:rPr>
              <w:t>Alte aspecte utile de împărtășit cu privire la utilizarea resursei educaționale deschise în activitatea cu elevii</w:t>
            </w:r>
          </w:p>
          <w:p w14:paraId="2B9DA8AB" w14:textId="77777777" w:rsidR="00722B8B" w:rsidRPr="00253C96" w:rsidRDefault="00722B8B" w:rsidP="006751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ro-RO"/>
              </w:rPr>
            </w:pPr>
            <w:r w:rsidRPr="00253C9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o-RO"/>
              </w:rPr>
              <w:t>(10-12 rânduri - recomandări, precizări, reflecții despre modalitățile de utilizare a resursei educaționale deschise)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69D5" w14:textId="77777777" w:rsidR="00B44933" w:rsidRDefault="00B44933" w:rsidP="006751F6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 literatura de specialitate, jocul didactic este desemnat ca fiind cel mai eficient mijloc de instruire și educare a copiilor, fiind folosit pentru a forma sau consolida anumite cunoștințe, priceperi sau deprinderi.</w:t>
            </w:r>
          </w:p>
          <w:p w14:paraId="2654F5AF" w14:textId="77777777" w:rsidR="0023612C" w:rsidRDefault="0023612C" w:rsidP="006751F6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Acest material se poate folosi la orele de fixare a noțiunilor gramaticale referitoare la adverb.</w:t>
            </w:r>
          </w:p>
          <w:p w14:paraId="2462043B" w14:textId="77777777" w:rsidR="0023612C" w:rsidRDefault="0023612C" w:rsidP="006751F6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După ce se predau toate elementele legate de adverb, se poate folosi această resursă pentru a consolida</w:t>
            </w:r>
            <w:r w:rsidR="00B4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noile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B4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noțiuni teoretice, dar și cele însușite anterior, pentru dezvoltarea deprinderii de analiză gramaticală, pentru identificarea lacunelor.</w:t>
            </w:r>
          </w:p>
          <w:p w14:paraId="5F49141D" w14:textId="77777777" w:rsidR="00722B8B" w:rsidRDefault="0023612C" w:rsidP="006751F6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Jocul se consumă ca activitate, creând bucuria și satisfacția acțiunii ce o cup</w:t>
            </w:r>
            <w:r w:rsidR="00B4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rinde,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influențează toate aspectele dezvoltării școlarului</w:t>
            </w:r>
            <w:r w:rsidR="00B4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solicitându-i atenția, spiritul de observație și de reacție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14:paraId="11957DB8" w14:textId="77777777" w:rsidR="00B44933" w:rsidRPr="00B44933" w:rsidRDefault="00B44933" w:rsidP="006751F6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Activitatea poate deveni și mai interesantă dacă se desfășoară sub formă de concurs</w:t>
            </w:r>
            <w:r w:rsidR="0067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elevii fiind împărțiți în grupe și fixându-se o limită de timp.</w:t>
            </w:r>
          </w:p>
        </w:tc>
      </w:tr>
    </w:tbl>
    <w:p w14:paraId="6527E788" w14:textId="77777777" w:rsidR="00722B8B" w:rsidRPr="00253C96" w:rsidRDefault="00722B8B" w:rsidP="00722B8B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  <w:lang w:val="ro-RO"/>
        </w:rPr>
      </w:pPr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 xml:space="preserve">Nota 1 și 2 – se </w:t>
      </w:r>
      <w:proofErr w:type="spellStart"/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>competează</w:t>
      </w:r>
      <w:proofErr w:type="spellEnd"/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 xml:space="preserve"> cu excepția resurselor destinate managementului educațional/proiectelor europene/activităților de cooperare internațională</w:t>
      </w:r>
    </w:p>
    <w:p w14:paraId="46EA3F59" w14:textId="77777777" w:rsidR="00722B8B" w:rsidRPr="00253C96" w:rsidRDefault="00722B8B" w:rsidP="00722B8B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20"/>
          <w:lang w:val="ro-RO"/>
        </w:rPr>
      </w:pPr>
      <w:r w:rsidRPr="00253C96">
        <w:rPr>
          <w:rFonts w:ascii="Arial" w:eastAsia="Arial" w:hAnsi="Arial" w:cs="Arial"/>
          <w:bCs/>
          <w:color w:val="000000"/>
          <w:sz w:val="20"/>
          <w:szCs w:val="20"/>
          <w:lang w:val="ro-RO"/>
        </w:rPr>
        <w:t>Nota 3 – pentru RED-urile de management educațional se vor completa indicatori de performanță</w:t>
      </w:r>
    </w:p>
    <w:p w14:paraId="238D053D" w14:textId="77777777" w:rsidR="00722B8B" w:rsidRPr="00FD49DD" w:rsidRDefault="00722B8B" w:rsidP="00722B8B">
      <w:pPr>
        <w:rPr>
          <w:lang w:val="pt-BR"/>
        </w:rPr>
      </w:pPr>
    </w:p>
    <w:p w14:paraId="740EA8B5" w14:textId="77777777" w:rsidR="00722B8B" w:rsidRPr="00FD49DD" w:rsidRDefault="00722B8B">
      <w:pPr>
        <w:rPr>
          <w:lang w:val="pt-BR"/>
        </w:rPr>
      </w:pPr>
    </w:p>
    <w:p w14:paraId="716B26C1" w14:textId="77777777" w:rsidR="00722B8B" w:rsidRPr="00FD49DD" w:rsidRDefault="00722B8B">
      <w:pPr>
        <w:rPr>
          <w:lang w:val="pt-BR"/>
        </w:rPr>
      </w:pPr>
    </w:p>
    <w:sectPr w:rsidR="00722B8B" w:rsidRPr="00FD49DD" w:rsidSect="00B0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B8B"/>
    <w:rsid w:val="00056812"/>
    <w:rsid w:val="0023612C"/>
    <w:rsid w:val="003117B6"/>
    <w:rsid w:val="00621D8B"/>
    <w:rsid w:val="006755E4"/>
    <w:rsid w:val="00722B8B"/>
    <w:rsid w:val="008562E3"/>
    <w:rsid w:val="009E0ACC"/>
    <w:rsid w:val="00B44933"/>
    <w:rsid w:val="00C87E3C"/>
    <w:rsid w:val="00CE2694"/>
    <w:rsid w:val="00DD3B8A"/>
    <w:rsid w:val="00E465E4"/>
    <w:rsid w:val="00E73D8C"/>
    <w:rsid w:val="00FD49DD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B1E6"/>
  <w15:docId w15:val="{C30043AE-BCBB-404C-8ECF-11020714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6005976" TargetMode="External"/><Relationship Id="rId4" Type="http://schemas.openxmlformats.org/officeDocument/2006/relationships/hyperlink" Target="http://edubh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Xtrem2100</dc:creator>
  <cp:keywords/>
  <dc:description/>
  <cp:lastModifiedBy>Popa Diana</cp:lastModifiedBy>
  <cp:revision>6</cp:revision>
  <dcterms:created xsi:type="dcterms:W3CDTF">2024-06-15T20:10:00Z</dcterms:created>
  <dcterms:modified xsi:type="dcterms:W3CDTF">2024-07-29T08:29:00Z</dcterms:modified>
</cp:coreProperties>
</file>