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AD4BD" w14:textId="77777777" w:rsidR="001B2BEB" w:rsidRDefault="00995C53">
      <w:bookmarkStart w:id="0" w:name="_GoBack"/>
      <w:bookmarkEnd w:id="0"/>
      <w:r>
        <w:t>Anexa 2</w:t>
      </w:r>
    </w:p>
    <w:p w14:paraId="7190155F" w14:textId="77777777" w:rsidR="00995C53" w:rsidRDefault="00995C53" w:rsidP="00995C53">
      <w:pPr>
        <w:jc w:val="center"/>
        <w:rPr>
          <w:b/>
          <w:sz w:val="28"/>
          <w:szCs w:val="28"/>
        </w:rPr>
      </w:pPr>
      <w:r w:rsidRPr="00995C53">
        <w:rPr>
          <w:b/>
          <w:sz w:val="28"/>
          <w:szCs w:val="28"/>
        </w:rPr>
        <w:t>Fișa de identificare RED</w:t>
      </w:r>
    </w:p>
    <w:p w14:paraId="3F90DEFD" w14:textId="77777777" w:rsidR="00995C53" w:rsidRPr="00995C53" w:rsidRDefault="00995C53" w:rsidP="00995C5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72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1416"/>
        <w:gridCol w:w="1136"/>
        <w:gridCol w:w="1349"/>
        <w:gridCol w:w="1486"/>
        <w:gridCol w:w="1123"/>
      </w:tblGrid>
      <w:tr w:rsidR="00995C53" w14:paraId="0378C4B4" w14:textId="77777777" w:rsidTr="00995C53">
        <w:trPr>
          <w:trHeight w:val="692"/>
        </w:trPr>
        <w:tc>
          <w:tcPr>
            <w:tcW w:w="9621" w:type="dxa"/>
            <w:gridSpan w:val="6"/>
            <w:shd w:val="clear" w:color="auto" w:fill="D4DCE3"/>
          </w:tcPr>
          <w:p w14:paraId="33C764F4" w14:textId="77777777" w:rsidR="00995C53" w:rsidRDefault="00995C53" w:rsidP="00995C53">
            <w:pPr>
              <w:pStyle w:val="TableParagraph"/>
              <w:spacing w:before="215"/>
              <w:ind w:left="418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I.</w:t>
            </w:r>
            <w:r>
              <w:rPr>
                <w:rFonts w:ascii="Arial"/>
                <w:b/>
              </w:rPr>
              <w:t>Date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generale</w:t>
            </w:r>
          </w:p>
        </w:tc>
      </w:tr>
      <w:tr w:rsidR="00995C53" w14:paraId="11780CD6" w14:textId="77777777" w:rsidTr="00995C53">
        <w:trPr>
          <w:trHeight w:val="679"/>
        </w:trPr>
        <w:tc>
          <w:tcPr>
            <w:tcW w:w="3111" w:type="dxa"/>
          </w:tcPr>
          <w:p w14:paraId="4B1EDB9F" w14:textId="77777777" w:rsidR="00995C53" w:rsidRDefault="00995C53" w:rsidP="00995C53">
            <w:pPr>
              <w:pStyle w:val="TableParagraph"/>
              <w:spacing w:before="95"/>
              <w:ind w:left="100" w:right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Titlul resursei educaționale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deschise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propuse</w:t>
            </w:r>
          </w:p>
        </w:tc>
        <w:tc>
          <w:tcPr>
            <w:tcW w:w="6510" w:type="dxa"/>
            <w:gridSpan w:val="5"/>
          </w:tcPr>
          <w:p w14:paraId="79DC3F5F" w14:textId="77777777" w:rsidR="00995C53" w:rsidRPr="00FD4517" w:rsidRDefault="004874D9" w:rsidP="00995C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="00562E9D" w:rsidRPr="00FD4517">
              <w:rPr>
                <w:sz w:val="24"/>
                <w:szCs w:val="24"/>
              </w:rPr>
              <w:t>Grupele de alimente</w:t>
            </w:r>
          </w:p>
        </w:tc>
      </w:tr>
      <w:tr w:rsidR="00995C53" w14:paraId="6D4948F7" w14:textId="77777777" w:rsidTr="00995C53">
        <w:trPr>
          <w:trHeight w:val="535"/>
        </w:trPr>
        <w:tc>
          <w:tcPr>
            <w:tcW w:w="3111" w:type="dxa"/>
          </w:tcPr>
          <w:p w14:paraId="459121D1" w14:textId="77777777" w:rsidR="00995C53" w:rsidRDefault="004874D9" w:rsidP="00995C5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  <w:r w:rsidR="00995C53">
              <w:rPr>
                <w:rFonts w:ascii="Arial"/>
                <w:b/>
              </w:rPr>
              <w:t>Disciplina</w:t>
            </w:r>
            <w:r w:rsidR="00995C53">
              <w:rPr>
                <w:rFonts w:ascii="Arial"/>
                <w:b/>
                <w:vertAlign w:val="superscript"/>
              </w:rPr>
              <w:t>1</w:t>
            </w:r>
          </w:p>
        </w:tc>
        <w:tc>
          <w:tcPr>
            <w:tcW w:w="6510" w:type="dxa"/>
            <w:gridSpan w:val="5"/>
          </w:tcPr>
          <w:p w14:paraId="6BCB31FB" w14:textId="77777777" w:rsidR="00995C53" w:rsidRPr="00FD4517" w:rsidRDefault="004874D9" w:rsidP="00995C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FD4517">
              <w:rPr>
                <w:sz w:val="24"/>
                <w:szCs w:val="24"/>
              </w:rPr>
              <w:t>Cultură de specialitate</w:t>
            </w:r>
          </w:p>
        </w:tc>
      </w:tr>
      <w:tr w:rsidR="00995C53" w14:paraId="56A836DC" w14:textId="77777777" w:rsidTr="00995C53">
        <w:trPr>
          <w:trHeight w:val="401"/>
        </w:trPr>
        <w:tc>
          <w:tcPr>
            <w:tcW w:w="3111" w:type="dxa"/>
          </w:tcPr>
          <w:p w14:paraId="2F812364" w14:textId="77777777" w:rsidR="00995C53" w:rsidRDefault="00995C53" w:rsidP="00995C53">
            <w:pPr>
              <w:pStyle w:val="TableParagraph"/>
              <w:spacing w:before="95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Clasa</w:t>
            </w:r>
            <w:r>
              <w:rPr>
                <w:rFonts w:ascii="Arial"/>
                <w:b/>
                <w:vertAlign w:val="superscript"/>
              </w:rPr>
              <w:t>2</w:t>
            </w:r>
          </w:p>
        </w:tc>
        <w:tc>
          <w:tcPr>
            <w:tcW w:w="6510" w:type="dxa"/>
            <w:gridSpan w:val="5"/>
          </w:tcPr>
          <w:p w14:paraId="08379051" w14:textId="77777777" w:rsidR="00995C53" w:rsidRPr="00FD4517" w:rsidRDefault="004874D9" w:rsidP="00995C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FD4517">
              <w:rPr>
                <w:sz w:val="24"/>
                <w:szCs w:val="24"/>
              </w:rPr>
              <w:t>a X-a</w:t>
            </w:r>
          </w:p>
        </w:tc>
      </w:tr>
      <w:tr w:rsidR="00995C53" w14:paraId="08BE314E" w14:textId="77777777" w:rsidTr="00995C53">
        <w:trPr>
          <w:trHeight w:val="530"/>
        </w:trPr>
        <w:tc>
          <w:tcPr>
            <w:tcW w:w="3111" w:type="dxa"/>
          </w:tcPr>
          <w:p w14:paraId="0E4D820C" w14:textId="77777777" w:rsidR="00995C53" w:rsidRDefault="00995C53" w:rsidP="00995C53">
            <w:pPr>
              <w:pStyle w:val="TableParagraph"/>
              <w:spacing w:before="95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Autor/Autori</w:t>
            </w:r>
          </w:p>
        </w:tc>
        <w:tc>
          <w:tcPr>
            <w:tcW w:w="6510" w:type="dxa"/>
            <w:gridSpan w:val="5"/>
          </w:tcPr>
          <w:p w14:paraId="4E82BDF5" w14:textId="77777777" w:rsidR="00995C53" w:rsidRPr="00FD4517" w:rsidRDefault="004874D9" w:rsidP="00995C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FD4517">
              <w:rPr>
                <w:sz w:val="24"/>
                <w:szCs w:val="24"/>
              </w:rPr>
              <w:t>TODICA MARCELA ILEANA</w:t>
            </w:r>
          </w:p>
        </w:tc>
      </w:tr>
      <w:tr w:rsidR="00995C53" w14:paraId="28ED08AC" w14:textId="77777777" w:rsidTr="00995C53">
        <w:trPr>
          <w:trHeight w:val="1465"/>
        </w:trPr>
        <w:tc>
          <w:tcPr>
            <w:tcW w:w="3111" w:type="dxa"/>
            <w:vMerge w:val="restart"/>
          </w:tcPr>
          <w:p w14:paraId="037633E3" w14:textId="77777777" w:rsidR="00995C53" w:rsidRDefault="00995C53" w:rsidP="00995C53">
            <w:pPr>
              <w:pStyle w:val="TableParagraph"/>
              <w:spacing w:before="95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Scopul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materialului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propus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14:paraId="68B147EE" w14:textId="77777777" w:rsidR="00995C53" w:rsidRDefault="00995C53" w:rsidP="00995C53">
            <w:pPr>
              <w:pStyle w:val="TableParagraph"/>
              <w:spacing w:before="95"/>
              <w:ind w:left="100" w:right="1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Didactic </w:t>
            </w:r>
            <w:r w:rsidR="00562E9D">
              <w:rPr>
                <w:rFonts w:ascii="Arial"/>
                <w:b/>
              </w:rPr>
              <w:t>–</w:t>
            </w:r>
            <w:r>
              <w:rPr>
                <w:rFonts w:ascii="Arial"/>
                <w:b/>
              </w:rPr>
              <w:t>de utilizat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la clasa cu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elevii/</w:t>
            </w:r>
          </w:p>
          <w:p w14:paraId="742165B3" w14:textId="77777777" w:rsidR="00995C53" w:rsidRDefault="00995C53" w:rsidP="00995C53">
            <w:pPr>
              <w:pStyle w:val="TableParagraph"/>
              <w:spacing w:before="1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preșcolarii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404787FA" w14:textId="77777777" w:rsidR="00995C53" w:rsidRDefault="00995C53" w:rsidP="00995C53">
            <w:pPr>
              <w:pStyle w:val="TableParagraph"/>
              <w:spacing w:before="95"/>
              <w:ind w:left="112" w:righ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Pt</w:t>
            </w:r>
            <w:r w:rsidR="004874D9">
              <w:rPr>
                <w:rFonts w:ascii="Arial" w:hAnsi="Arial"/>
                <w:b/>
              </w:rPr>
              <w:t>.</w:t>
            </w:r>
            <w:r w:rsidR="005B1704">
              <w:rPr>
                <w:rFonts w:ascii="Arial" w:hAnsi="Arial"/>
                <w:b/>
              </w:rPr>
              <w:t xml:space="preserve"> </w:t>
            </w:r>
            <w:r w:rsidR="00562E9D"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>lev–de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utilizat</w:t>
            </w:r>
          </w:p>
          <w:p w14:paraId="133856B8" w14:textId="77777777" w:rsidR="00995C53" w:rsidRDefault="005B1704" w:rsidP="00995C53">
            <w:pPr>
              <w:pStyle w:val="TableParagraph"/>
              <w:spacing w:before="2"/>
              <w:ind w:left="112" w:righ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  <w:r w:rsidR="00995C53"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 xml:space="preserve"> </w:t>
            </w:r>
            <w:r w:rsidR="00995C53">
              <w:rPr>
                <w:rFonts w:ascii="Arial" w:hAnsi="Arial"/>
                <w:b/>
              </w:rPr>
              <w:t>către</w:t>
            </w:r>
            <w:r>
              <w:rPr>
                <w:rFonts w:ascii="Arial" w:hAnsi="Arial"/>
                <w:b/>
              </w:rPr>
              <w:t xml:space="preserve"> </w:t>
            </w:r>
            <w:r w:rsidR="00995C53">
              <w:rPr>
                <w:rFonts w:ascii="Arial" w:hAnsi="Arial"/>
                <w:b/>
              </w:rPr>
              <w:t>elev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73637C99" w14:textId="77777777" w:rsidR="004874D9" w:rsidRDefault="00995C53" w:rsidP="00995C53">
            <w:pPr>
              <w:pStyle w:val="TableParagraph"/>
              <w:tabs>
                <w:tab w:val="left" w:pos="1040"/>
              </w:tabs>
              <w:spacing w:before="95"/>
              <w:ind w:left="112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</w:t>
            </w:r>
            <w:r w:rsidR="005B1704">
              <w:rPr>
                <w:rFonts w:ascii="Arial"/>
                <w:b/>
              </w:rPr>
              <w:t xml:space="preserve"> documen</w:t>
            </w:r>
            <w:r w:rsidR="004874D9">
              <w:rPr>
                <w:rFonts w:ascii="Arial"/>
                <w:b/>
              </w:rPr>
              <w:t>-</w:t>
            </w:r>
          </w:p>
          <w:p w14:paraId="4AAFFCC8" w14:textId="77777777" w:rsidR="00995C53" w:rsidRDefault="00995C53" w:rsidP="00995C53">
            <w:pPr>
              <w:pStyle w:val="TableParagraph"/>
              <w:tabs>
                <w:tab w:val="left" w:pos="1040"/>
              </w:tabs>
              <w:spacing w:before="95"/>
              <w:ind w:left="112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</w:t>
            </w:r>
            <w:r w:rsidR="004874D9"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</w:rPr>
              <w:t>re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pt</w:t>
            </w:r>
            <w:r w:rsidR="005B1704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cadrele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didactice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14:paraId="5C816098" w14:textId="77777777" w:rsidR="00995C53" w:rsidRDefault="00995C53" w:rsidP="00995C53">
            <w:pPr>
              <w:pStyle w:val="TableParagraph"/>
              <w:spacing w:before="95"/>
              <w:ind w:left="114" w:right="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manage-ment</w:t>
            </w:r>
          </w:p>
          <w:p w14:paraId="6A637C2F" w14:textId="77777777" w:rsidR="00995C53" w:rsidRDefault="00995C53" w:rsidP="00995C53">
            <w:pPr>
              <w:pStyle w:val="TableParagraph"/>
              <w:spacing w:before="1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educațional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 w14:paraId="05A01688" w14:textId="77777777" w:rsidR="00995C53" w:rsidRDefault="00995C53" w:rsidP="00995C53">
            <w:pPr>
              <w:pStyle w:val="TableParagraph"/>
              <w:spacing w:before="95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Altele</w:t>
            </w:r>
          </w:p>
          <w:p w14:paraId="698D11C1" w14:textId="77777777" w:rsidR="00995C53" w:rsidRDefault="00995C53" w:rsidP="00995C53">
            <w:pPr>
              <w:pStyle w:val="TableParagraph"/>
              <w:spacing w:before="2"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..............</w:t>
            </w:r>
          </w:p>
          <w:p w14:paraId="63EF1BB6" w14:textId="77777777" w:rsidR="00995C53" w:rsidRDefault="00995C53" w:rsidP="00995C53">
            <w:pPr>
              <w:pStyle w:val="TableParagraph"/>
              <w:spacing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..............</w:t>
            </w:r>
          </w:p>
          <w:p w14:paraId="670705F5" w14:textId="77777777" w:rsidR="00995C53" w:rsidRDefault="00995C53" w:rsidP="00995C53">
            <w:pPr>
              <w:pStyle w:val="TableParagraph"/>
              <w:spacing w:before="1"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</w:t>
            </w:r>
          </w:p>
          <w:p w14:paraId="137C76FA" w14:textId="77777777" w:rsidR="00995C53" w:rsidRDefault="00995C53" w:rsidP="00995C53">
            <w:pPr>
              <w:pStyle w:val="TableParagraph"/>
              <w:spacing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.............</w:t>
            </w:r>
          </w:p>
        </w:tc>
      </w:tr>
      <w:tr w:rsidR="00995C53" w14:paraId="243FB042" w14:textId="77777777" w:rsidTr="00995C53">
        <w:trPr>
          <w:trHeight w:val="476"/>
        </w:trPr>
        <w:tc>
          <w:tcPr>
            <w:tcW w:w="3111" w:type="dxa"/>
            <w:vMerge/>
            <w:tcBorders>
              <w:top w:val="nil"/>
            </w:tcBorders>
          </w:tcPr>
          <w:p w14:paraId="28727CA3" w14:textId="77777777" w:rsidR="00995C53" w:rsidRDefault="00995C53" w:rsidP="00995C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14:paraId="4B243E00" w14:textId="77777777" w:rsidR="00995C53" w:rsidRDefault="00995C53" w:rsidP="00995C5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486B5619" w14:textId="77777777" w:rsidR="00995C53" w:rsidRDefault="004874D9" w:rsidP="004874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58D2DD97" w14:textId="77777777" w:rsidR="00995C53" w:rsidRDefault="00995C53" w:rsidP="00995C53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14:paraId="2C8BC1E6" w14:textId="77777777" w:rsidR="00995C53" w:rsidRDefault="00995C53" w:rsidP="00995C53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left w:val="single" w:sz="4" w:space="0" w:color="000000"/>
            </w:tcBorders>
          </w:tcPr>
          <w:p w14:paraId="089A5872" w14:textId="77777777" w:rsidR="00995C53" w:rsidRDefault="00995C53" w:rsidP="00995C53">
            <w:pPr>
              <w:pStyle w:val="TableParagraph"/>
              <w:rPr>
                <w:sz w:val="20"/>
              </w:rPr>
            </w:pPr>
          </w:p>
        </w:tc>
      </w:tr>
      <w:tr w:rsidR="00995C53" w14:paraId="1A57802A" w14:textId="77777777" w:rsidTr="00995C53">
        <w:trPr>
          <w:trHeight w:val="692"/>
        </w:trPr>
        <w:tc>
          <w:tcPr>
            <w:tcW w:w="9621" w:type="dxa"/>
            <w:gridSpan w:val="6"/>
            <w:shd w:val="clear" w:color="auto" w:fill="D4DCE3"/>
          </w:tcPr>
          <w:p w14:paraId="3A599936" w14:textId="77777777" w:rsidR="00995C53" w:rsidRDefault="00995C53" w:rsidP="00995C53">
            <w:pPr>
              <w:pStyle w:val="TableParagraph"/>
              <w:spacing w:before="215"/>
              <w:ind w:left="25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II.Prezentare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resursei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educaționale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deschise</w:t>
            </w:r>
          </w:p>
        </w:tc>
      </w:tr>
      <w:tr w:rsidR="00995C53" w14:paraId="2D3B7C39" w14:textId="77777777" w:rsidTr="00995C53">
        <w:trPr>
          <w:trHeight w:val="744"/>
        </w:trPr>
        <w:tc>
          <w:tcPr>
            <w:tcW w:w="3111" w:type="dxa"/>
          </w:tcPr>
          <w:p w14:paraId="29DC930A" w14:textId="77777777" w:rsidR="00995C53" w:rsidRDefault="00995C53" w:rsidP="00995C53">
            <w:pPr>
              <w:pStyle w:val="TableParagraph"/>
              <w:spacing w:before="95"/>
              <w:ind w:left="100" w:right="6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Competența specifică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vizată/Indicatori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</w:p>
          <w:p w14:paraId="0E01C0ED" w14:textId="77777777" w:rsidR="00995C53" w:rsidRDefault="00995C53" w:rsidP="00995C53">
            <w:pPr>
              <w:pStyle w:val="TableParagraph"/>
              <w:spacing w:before="1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performanță</w:t>
            </w:r>
            <w:r>
              <w:rPr>
                <w:rFonts w:ascii="Arial" w:hAnsi="Arial"/>
                <w:b/>
                <w:vertAlign w:val="superscript"/>
              </w:rPr>
              <w:t>3</w:t>
            </w:r>
          </w:p>
        </w:tc>
        <w:tc>
          <w:tcPr>
            <w:tcW w:w="6510" w:type="dxa"/>
            <w:gridSpan w:val="5"/>
          </w:tcPr>
          <w:p w14:paraId="7452F2DA" w14:textId="77777777" w:rsidR="00995C53" w:rsidRPr="00FD4517" w:rsidRDefault="00CD3F86" w:rsidP="00995C53">
            <w:pPr>
              <w:pStyle w:val="TableParagraph"/>
              <w:rPr>
                <w:sz w:val="24"/>
                <w:szCs w:val="24"/>
              </w:rPr>
            </w:pPr>
            <w:r w:rsidRPr="00FD4517">
              <w:rPr>
                <w:sz w:val="24"/>
                <w:szCs w:val="24"/>
              </w:rPr>
              <w:t>Identificarea și asocierea materiilor prime pe grupe de alimente</w:t>
            </w:r>
          </w:p>
        </w:tc>
      </w:tr>
      <w:tr w:rsidR="00995C53" w14:paraId="4A3DFC5A" w14:textId="77777777" w:rsidTr="00995C53">
        <w:trPr>
          <w:trHeight w:val="659"/>
        </w:trPr>
        <w:tc>
          <w:tcPr>
            <w:tcW w:w="3111" w:type="dxa"/>
          </w:tcPr>
          <w:p w14:paraId="5E196741" w14:textId="77777777" w:rsidR="00995C53" w:rsidRDefault="00995C53" w:rsidP="00995C53">
            <w:pPr>
              <w:pStyle w:val="TableParagraph"/>
              <w:spacing w:before="95"/>
              <w:ind w:left="100" w:right="205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</w:rPr>
              <w:t xml:space="preserve">Durata resursei </w:t>
            </w:r>
            <w:r>
              <w:rPr>
                <w:rFonts w:ascii="Arial"/>
                <w:i/>
                <w:sz w:val="18"/>
              </w:rPr>
              <w:t>(de completat</w:t>
            </w:r>
            <w:r w:rsidR="005B1704"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exclusiv</w:t>
            </w:r>
            <w:r w:rsidR="005B1704"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pentru</w:t>
            </w:r>
            <w:r w:rsidR="005B1704"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resurse</w:t>
            </w:r>
            <w:r w:rsidR="005B1704"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video)</w:t>
            </w:r>
          </w:p>
        </w:tc>
        <w:tc>
          <w:tcPr>
            <w:tcW w:w="6510" w:type="dxa"/>
            <w:gridSpan w:val="5"/>
          </w:tcPr>
          <w:p w14:paraId="0F9B0C92" w14:textId="77777777" w:rsidR="00995C53" w:rsidRDefault="00562E9D" w:rsidP="00562E9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95C53" w14:paraId="373A3179" w14:textId="77777777" w:rsidTr="00995C53">
        <w:trPr>
          <w:trHeight w:val="1036"/>
        </w:trPr>
        <w:tc>
          <w:tcPr>
            <w:tcW w:w="3111" w:type="dxa"/>
          </w:tcPr>
          <w:p w14:paraId="4706F531" w14:textId="77777777" w:rsidR="00995C53" w:rsidRDefault="00995C53" w:rsidP="00995C53">
            <w:pPr>
              <w:pStyle w:val="TableParagraph"/>
              <w:spacing w:before="95"/>
              <w:ind w:left="100" w:right="51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</w:rPr>
              <w:t>Scurtă prezentare a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resursei educaționale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deschise propuse </w:t>
            </w:r>
            <w:r>
              <w:rPr>
                <w:rFonts w:ascii="Arial" w:hAnsi="Arial"/>
                <w:i/>
                <w:sz w:val="18"/>
              </w:rPr>
              <w:t>(10-15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rânduri)</w:t>
            </w:r>
          </w:p>
        </w:tc>
        <w:tc>
          <w:tcPr>
            <w:tcW w:w="6510" w:type="dxa"/>
            <w:gridSpan w:val="5"/>
          </w:tcPr>
          <w:p w14:paraId="70F9333D" w14:textId="4DA23AE2" w:rsidR="002E17C8" w:rsidRPr="009025CB" w:rsidRDefault="002E17C8" w:rsidP="002E17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Este un document online destinat copiilor cu cerințe educaționale speciale, învățământ profesional.Materialul  reprezintă un model de verificare </w:t>
            </w:r>
            <w:r w:rsidR="00650EF3"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și consolidare </w:t>
            </w:r>
            <w:r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cunoștințelor elevilor, care poate fi folosit la modulul intitulat “Procese de bază în alimentație”, parte integrantă a domeniului de pregătire Turism și alimentație, domeniu care asigură pregătirea de specialitate a elevilor pentru calificarea de bucătar.</w:t>
            </w:r>
          </w:p>
          <w:p w14:paraId="232F8E38" w14:textId="5696DC31" w:rsidR="002E17C8" w:rsidRPr="009025CB" w:rsidRDefault="002E17C8" w:rsidP="002E17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Acest joc captează atenția foarte repede și reușește să îi antreneze pe elevi</w:t>
            </w:r>
            <w:r w:rsidR="00AE1E19"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mult mai ușor.</w:t>
            </w:r>
          </w:p>
          <w:p w14:paraId="726FB2E9" w14:textId="5E24CD75" w:rsidR="002E17C8" w:rsidRPr="0023487B" w:rsidRDefault="002E17C8" w:rsidP="002E17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Astfel, urmând exemplul oferit de suportul online, elevii vor deprinde mai lesne cunoștinte legate d</w:t>
            </w:r>
            <w:r w:rsidR="00FD4517"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 grupele alimentare și implicit de materiile </w:t>
            </w:r>
            <w:r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prime</w:t>
            </w:r>
            <w:r w:rsidR="00650EF3"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origine vegetală și animală</w:t>
            </w:r>
            <w:r w:rsidR="00FD4517"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reușind să-și </w:t>
            </w:r>
            <w:r w:rsidR="00650EF3"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consolideze</w:t>
            </w:r>
            <w:r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cunoș</w:t>
            </w:r>
            <w:r w:rsidR="00A95775"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9025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ințele acumulate.</w:t>
            </w:r>
          </w:p>
          <w:p w14:paraId="422F9A2B" w14:textId="77777777" w:rsidR="00995C53" w:rsidRDefault="00995C53" w:rsidP="00995C53">
            <w:pPr>
              <w:pStyle w:val="TableParagraph"/>
              <w:rPr>
                <w:sz w:val="20"/>
              </w:rPr>
            </w:pPr>
          </w:p>
        </w:tc>
      </w:tr>
      <w:tr w:rsidR="00995C53" w14:paraId="3FB3B237" w14:textId="77777777" w:rsidTr="00995C53">
        <w:trPr>
          <w:trHeight w:val="1221"/>
        </w:trPr>
        <w:tc>
          <w:tcPr>
            <w:tcW w:w="3111" w:type="dxa"/>
          </w:tcPr>
          <w:p w14:paraId="4E88BE3B" w14:textId="77777777" w:rsidR="00995C53" w:rsidRDefault="00995C53" w:rsidP="00995C53">
            <w:pPr>
              <w:pStyle w:val="TableParagraph"/>
              <w:spacing w:before="95"/>
              <w:ind w:left="100" w:right="232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Elemente agregate (</w:t>
            </w:r>
            <w:r>
              <w:rPr>
                <w:rFonts w:ascii="Arial" w:hAnsi="Arial"/>
                <w:i/>
              </w:rPr>
              <w:t>link-uri</w:t>
            </w:r>
            <w:r w:rsidR="005B170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la resursele utilizate ca părți</w:t>
            </w:r>
            <w:r w:rsidR="005B170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componente în construcția</w:t>
            </w:r>
            <w:r w:rsidR="005B170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resursei, acolo unde este</w:t>
            </w:r>
            <w:r w:rsidR="005B170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cazul)</w:t>
            </w:r>
          </w:p>
        </w:tc>
        <w:tc>
          <w:tcPr>
            <w:tcW w:w="6510" w:type="dxa"/>
            <w:gridSpan w:val="5"/>
          </w:tcPr>
          <w:p w14:paraId="6EF6BE03" w14:textId="77777777" w:rsidR="00FD0FE3" w:rsidRPr="00013CC6" w:rsidRDefault="009025CB" w:rsidP="00FD0FE3">
            <w:pPr>
              <w:rPr>
                <w:sz w:val="24"/>
                <w:szCs w:val="24"/>
              </w:rPr>
            </w:pPr>
            <w:hyperlink r:id="rId5" w:history="1">
              <w:r w:rsidR="00FD0FE3" w:rsidRPr="00013CC6">
                <w:rPr>
                  <w:rStyle w:val="Hyperlink"/>
                  <w:sz w:val="24"/>
                  <w:szCs w:val="24"/>
                </w:rPr>
                <w:t>https://learningapps.org/28897990</w:t>
              </w:r>
            </w:hyperlink>
          </w:p>
          <w:p w14:paraId="0AE47E77" w14:textId="77777777" w:rsidR="00562E9D" w:rsidRPr="00013CC6" w:rsidRDefault="00562E9D" w:rsidP="00562E9D">
            <w:pPr>
              <w:rPr>
                <w:sz w:val="24"/>
                <w:szCs w:val="24"/>
              </w:rPr>
            </w:pPr>
          </w:p>
          <w:p w14:paraId="7AD45AFE" w14:textId="77777777" w:rsidR="00995C53" w:rsidRDefault="00995C53" w:rsidP="00562E9D">
            <w:pPr>
              <w:pStyle w:val="TableParagraph"/>
              <w:rPr>
                <w:sz w:val="20"/>
              </w:rPr>
            </w:pPr>
          </w:p>
        </w:tc>
      </w:tr>
      <w:tr w:rsidR="00995C53" w14:paraId="11E84E22" w14:textId="77777777" w:rsidTr="00995C53">
        <w:trPr>
          <w:trHeight w:val="692"/>
        </w:trPr>
        <w:tc>
          <w:tcPr>
            <w:tcW w:w="9621" w:type="dxa"/>
            <w:gridSpan w:val="6"/>
            <w:shd w:val="clear" w:color="auto" w:fill="D4DCE3"/>
          </w:tcPr>
          <w:p w14:paraId="6BC8D034" w14:textId="77777777" w:rsidR="00995C53" w:rsidRDefault="00995C53" w:rsidP="00995C53">
            <w:pPr>
              <w:pStyle w:val="TableParagraph"/>
              <w:spacing w:before="215"/>
              <w:ind w:left="42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III.Comentarii</w:t>
            </w:r>
          </w:p>
        </w:tc>
      </w:tr>
      <w:tr w:rsidR="00995C53" w14:paraId="0CC618C2" w14:textId="77777777" w:rsidTr="00995C53">
        <w:trPr>
          <w:trHeight w:val="1655"/>
        </w:trPr>
        <w:tc>
          <w:tcPr>
            <w:tcW w:w="3111" w:type="dxa"/>
          </w:tcPr>
          <w:p w14:paraId="180A2FEB" w14:textId="77777777" w:rsidR="00995C53" w:rsidRDefault="00995C53" w:rsidP="00995C53">
            <w:pPr>
              <w:pStyle w:val="TableParagraph"/>
              <w:spacing w:before="95"/>
              <w:ind w:left="100" w:right="6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Alte aspecte utile de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împărtășit cu privire la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utilizarea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resursei</w:t>
            </w:r>
          </w:p>
          <w:p w14:paraId="59DCFB5F" w14:textId="77777777" w:rsidR="00995C53" w:rsidRDefault="00995C53" w:rsidP="00995C53">
            <w:pPr>
              <w:pStyle w:val="TableParagraph"/>
              <w:ind w:left="100" w:right="3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educaționale deschise în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activitatea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cu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elevii</w:t>
            </w:r>
          </w:p>
          <w:p w14:paraId="0DA463C6" w14:textId="77777777" w:rsidR="00995C53" w:rsidRDefault="00995C53" w:rsidP="00995C53">
            <w:pPr>
              <w:pStyle w:val="TableParagraph"/>
              <w:spacing w:before="2"/>
              <w:ind w:left="100" w:right="62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(10-12 rânduri - recomandări,precizări,reflecțiidespre</w:t>
            </w:r>
          </w:p>
          <w:p w14:paraId="76946ADC" w14:textId="77777777" w:rsidR="00995C53" w:rsidRDefault="00995C53" w:rsidP="00995C53">
            <w:pPr>
              <w:pStyle w:val="TableParagraph"/>
              <w:ind w:left="100" w:right="31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modalitățile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utilizare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resursei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educaționale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deschise)</w:t>
            </w:r>
          </w:p>
        </w:tc>
        <w:tc>
          <w:tcPr>
            <w:tcW w:w="6510" w:type="dxa"/>
            <w:gridSpan w:val="5"/>
          </w:tcPr>
          <w:p w14:paraId="480B23FB" w14:textId="057256EA" w:rsidR="00650EF3" w:rsidRDefault="00650EF3" w:rsidP="00650EF3">
            <w:pPr>
              <w:rPr>
                <w:sz w:val="24"/>
                <w:szCs w:val="24"/>
              </w:rPr>
            </w:pPr>
            <w:r w:rsidRPr="00650EF3">
              <w:rPr>
                <w:sz w:val="24"/>
                <w:szCs w:val="24"/>
              </w:rPr>
              <w:t xml:space="preserve">Această aplicație  </w:t>
            </w:r>
            <w:r>
              <w:t>LearningApps</w:t>
            </w:r>
            <w:r w:rsidRPr="00650EF3">
              <w:rPr>
                <w:sz w:val="24"/>
                <w:szCs w:val="24"/>
              </w:rPr>
              <w:t xml:space="preserve"> este simplă pentru folosire</w:t>
            </w:r>
            <w:r>
              <w:rPr>
                <w:sz w:val="24"/>
                <w:szCs w:val="24"/>
              </w:rPr>
              <w:t xml:space="preserve"> și</w:t>
            </w:r>
            <w:r w:rsidRPr="00650EF3">
              <w:rPr>
                <w:sz w:val="24"/>
                <w:szCs w:val="24"/>
              </w:rPr>
              <w:t xml:space="preserve"> se integrează uşor în procesul de învățare. </w:t>
            </w:r>
            <w:r>
              <w:rPr>
                <w:sz w:val="24"/>
                <w:szCs w:val="24"/>
              </w:rPr>
              <w:t>E</w:t>
            </w:r>
            <w:r w:rsidRPr="00650EF3">
              <w:rPr>
                <w:sz w:val="24"/>
                <w:szCs w:val="24"/>
              </w:rPr>
              <w:t xml:space="preserve">ste o platformă folosită pentru crearea de mici joculețe care pot fi folosite în </w:t>
            </w:r>
            <w:r>
              <w:rPr>
                <w:sz w:val="24"/>
                <w:szCs w:val="24"/>
              </w:rPr>
              <w:t xml:space="preserve">verificarea și </w:t>
            </w:r>
            <w:r w:rsidRPr="00650EF3">
              <w:rPr>
                <w:sz w:val="24"/>
                <w:szCs w:val="24"/>
              </w:rPr>
              <w:t>consolidarea cunoștințelor prin exerciții</w:t>
            </w:r>
            <w:r>
              <w:rPr>
                <w:sz w:val="24"/>
                <w:szCs w:val="24"/>
              </w:rPr>
              <w:t xml:space="preserve"> la disciplina Cultură de specialitate</w:t>
            </w:r>
            <w:r w:rsidRPr="00650EF3">
              <w:rPr>
                <w:sz w:val="24"/>
                <w:szCs w:val="24"/>
              </w:rPr>
              <w:t>. Este foarte atractivă pentru elevi întrucât aceștia pot executa sarcinile atât singuri, cât și în competiție cu alți colegi. La final pot vedea rezultatul.</w:t>
            </w:r>
          </w:p>
          <w:p w14:paraId="36D46226" w14:textId="3C472E57" w:rsidR="00995C53" w:rsidRPr="002D0439" w:rsidRDefault="00650EF3" w:rsidP="002D0439">
            <w:pPr>
              <w:rPr>
                <w:sz w:val="24"/>
                <w:szCs w:val="24"/>
              </w:rPr>
            </w:pPr>
            <w:r w:rsidRPr="00650EF3">
              <w:rPr>
                <w:sz w:val="24"/>
                <w:szCs w:val="24"/>
              </w:rPr>
              <w:t>Modulele/exercițiile online (denumite Apps) existente pot fi integrate direct în conținuturile de învățare corespunzătoare, sau redactate/ajustate la necesitate</w:t>
            </w:r>
            <w:r>
              <w:rPr>
                <w:sz w:val="24"/>
                <w:szCs w:val="24"/>
              </w:rPr>
              <w:t>.</w:t>
            </w:r>
            <w:r w:rsidR="002D0439" w:rsidRPr="002D0439">
              <w:rPr>
                <w:sz w:val="24"/>
                <w:szCs w:val="24"/>
              </w:rPr>
              <w:t>Tipurile de exerciții care pot fi alcătuite sunt diverse pornind de la:</w:t>
            </w:r>
            <w:r w:rsidR="002D0439">
              <w:rPr>
                <w:sz w:val="24"/>
                <w:szCs w:val="24"/>
              </w:rPr>
              <w:t xml:space="preserve"> </w:t>
            </w:r>
            <w:r w:rsidR="002D0439" w:rsidRPr="002D0439">
              <w:rPr>
                <w:sz w:val="24"/>
                <w:szCs w:val="24"/>
              </w:rPr>
              <w:t>Ordonare grupe, Ordonare pe imagini, Ordonează perechi,  Cuvinte încrucișate,</w:t>
            </w:r>
            <w:r w:rsidR="002D0439">
              <w:rPr>
                <w:sz w:val="24"/>
                <w:szCs w:val="24"/>
              </w:rPr>
              <w:t xml:space="preserve"> etc.</w:t>
            </w:r>
          </w:p>
        </w:tc>
      </w:tr>
    </w:tbl>
    <w:p w14:paraId="26B092DC" w14:textId="77777777" w:rsidR="00995C53" w:rsidRDefault="00995C53" w:rsidP="00995C53">
      <w:r>
        <w:t xml:space="preserve">Nota 1 și 2 – se competează cu excepția resurselor destinate managementului educațional/proiectelor </w:t>
      </w:r>
      <w:r>
        <w:tab/>
        <w:t>europene/activităților de cooperare internațională</w:t>
      </w:r>
    </w:p>
    <w:p w14:paraId="5EFEC73B" w14:textId="77777777" w:rsidR="00995C53" w:rsidRDefault="00995C53" w:rsidP="00995C53">
      <w:r>
        <w:t>Nota 3 – pentru RED-urile de management educațional se vor completa indicatori de performanță</w:t>
      </w:r>
    </w:p>
    <w:p w14:paraId="6F2DFCF2" w14:textId="77777777" w:rsidR="00995C53" w:rsidRDefault="00995C53" w:rsidP="00995C53"/>
    <w:p w14:paraId="524DB9F0" w14:textId="77777777" w:rsidR="00995C53" w:rsidRPr="00995C53" w:rsidRDefault="00995C53" w:rsidP="00995C53">
      <w:r w:rsidRPr="00995C53">
        <w:tab/>
      </w:r>
    </w:p>
    <w:sectPr w:rsidR="00995C53" w:rsidRPr="00995C53" w:rsidSect="00995C5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53"/>
    <w:rsid w:val="00013CC6"/>
    <w:rsid w:val="00036237"/>
    <w:rsid w:val="001B2BEB"/>
    <w:rsid w:val="001D2CF6"/>
    <w:rsid w:val="00207256"/>
    <w:rsid w:val="002D0439"/>
    <w:rsid w:val="002E17C8"/>
    <w:rsid w:val="004772F3"/>
    <w:rsid w:val="004874D9"/>
    <w:rsid w:val="004F3452"/>
    <w:rsid w:val="00562E9D"/>
    <w:rsid w:val="005B1704"/>
    <w:rsid w:val="00647981"/>
    <w:rsid w:val="00650EF3"/>
    <w:rsid w:val="00750EF1"/>
    <w:rsid w:val="007678B6"/>
    <w:rsid w:val="00793EA1"/>
    <w:rsid w:val="009025CB"/>
    <w:rsid w:val="00995C53"/>
    <w:rsid w:val="00A95775"/>
    <w:rsid w:val="00AE1E19"/>
    <w:rsid w:val="00BD5AA7"/>
    <w:rsid w:val="00CD3F86"/>
    <w:rsid w:val="00DD64F7"/>
    <w:rsid w:val="00FD0FE3"/>
    <w:rsid w:val="00FD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8AAA"/>
  <w15:docId w15:val="{C2E8E2A6-2166-4B76-8128-2D8E913E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5C53"/>
    <w:pPr>
      <w:widowControl w:val="0"/>
      <w:autoSpaceDE w:val="0"/>
      <w:autoSpaceDN w:val="0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95C53"/>
  </w:style>
  <w:style w:type="character" w:styleId="Hyperlink">
    <w:name w:val="Hyperlink"/>
    <w:basedOn w:val="DefaultParagraphFont"/>
    <w:uiPriority w:val="99"/>
    <w:unhideWhenUsed/>
    <w:rsid w:val="00562E9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E17C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28897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94E3-D2FC-4EFE-8B52-4799A3B1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2023-02-17T08:32:00Z</dcterms:created>
  <dcterms:modified xsi:type="dcterms:W3CDTF">2023-02-17T08:32:00Z</dcterms:modified>
</cp:coreProperties>
</file>