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A6" w:rsidRDefault="00FF4F5A">
      <w:pPr>
        <w:rPr>
          <w:rFonts w:ascii="Times New Roman" w:eastAsia="SimSu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Anexa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2 </w:t>
      </w:r>
    </w:p>
    <w:p w:rsidR="00C87EA6" w:rsidRDefault="00FF4F5A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Fișa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identificare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RED</w:t>
      </w:r>
    </w:p>
    <w:p w:rsidR="00C87EA6" w:rsidRDefault="00C87EA6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16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2592"/>
        <w:gridCol w:w="1800"/>
        <w:gridCol w:w="1350"/>
        <w:gridCol w:w="177"/>
        <w:gridCol w:w="1533"/>
        <w:gridCol w:w="1617"/>
        <w:gridCol w:w="847"/>
      </w:tblGrid>
      <w:tr w:rsidR="00C87EA6">
        <w:tc>
          <w:tcPr>
            <w:tcW w:w="9916" w:type="dxa"/>
            <w:gridSpan w:val="7"/>
            <w:shd w:val="clear" w:color="auto" w:fill="9CC2E5" w:themeFill="accent1" w:themeFillTint="99"/>
          </w:tcPr>
          <w:p w:rsidR="00C87EA6" w:rsidRDefault="00FF4F5A">
            <w:pPr>
              <w:numPr>
                <w:ilvl w:val="0"/>
                <w:numId w:val="1"/>
              </w:numPr>
              <w:shd w:val="clear" w:color="auto" w:fill="BDD6EE" w:themeFill="accent1" w:themeFillTint="66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o-RO"/>
              </w:rPr>
              <w:t>Date generale</w:t>
            </w:r>
          </w:p>
        </w:tc>
      </w:tr>
      <w:tr w:rsidR="00C87EA6" w:rsidTr="00AC39FA">
        <w:tc>
          <w:tcPr>
            <w:tcW w:w="2592" w:type="dxa"/>
          </w:tcPr>
          <w:p w:rsidR="00C87EA6" w:rsidRDefault="00FF4F5A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Titlul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resursei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educaționale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deschise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propuse</w:t>
            </w:r>
            <w:proofErr w:type="spellEnd"/>
          </w:p>
        </w:tc>
        <w:tc>
          <w:tcPr>
            <w:tcW w:w="7324" w:type="dxa"/>
            <w:gridSpan w:val="6"/>
          </w:tcPr>
          <w:p w:rsidR="000646B9" w:rsidRDefault="00AC39FA" w:rsidP="00922D6F">
            <w:pPr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UNITĂȚI MONETARE</w:t>
            </w:r>
          </w:p>
        </w:tc>
      </w:tr>
      <w:tr w:rsidR="00C87EA6" w:rsidTr="00AC39FA">
        <w:tc>
          <w:tcPr>
            <w:tcW w:w="2592" w:type="dxa"/>
          </w:tcPr>
          <w:p w:rsidR="00C87EA6" w:rsidRDefault="00FF4F5A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Disciplina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vertAlign w:val="superscript"/>
                <w:lang w:val="ro-RO"/>
              </w:rPr>
              <w:t>1</w:t>
            </w:r>
          </w:p>
        </w:tc>
        <w:tc>
          <w:tcPr>
            <w:tcW w:w="7324" w:type="dxa"/>
            <w:gridSpan w:val="6"/>
          </w:tcPr>
          <w:p w:rsidR="00922D6F" w:rsidRDefault="00922D6F" w:rsidP="00922D6F">
            <w:pPr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Resursă cu caracter interdisciplinar:</w:t>
            </w:r>
          </w:p>
          <w:p w:rsidR="00922D6F" w:rsidRPr="000646B9" w:rsidRDefault="00922D6F" w:rsidP="00922D6F">
            <w:pPr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646B9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Stimulare Cognitivă</w:t>
            </w:r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Autonomie</w:t>
            </w:r>
            <w:proofErr w:type="spellEnd"/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Personală</w:t>
            </w:r>
            <w:proofErr w:type="spellEnd"/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Educație</w:t>
            </w:r>
            <w:proofErr w:type="spellEnd"/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financiară</w:t>
            </w:r>
            <w:proofErr w:type="spellEnd"/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Consiliere</w:t>
            </w:r>
            <w:proofErr w:type="spellEnd"/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46B9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Orientare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, MEM</w:t>
            </w:r>
          </w:p>
          <w:p w:rsidR="00C87EA6" w:rsidRDefault="00C87EA6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87EA6" w:rsidTr="00AC39FA">
        <w:tc>
          <w:tcPr>
            <w:tcW w:w="2592" w:type="dxa"/>
          </w:tcPr>
          <w:p w:rsidR="00C87EA6" w:rsidRDefault="00FF4F5A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o-RO"/>
              </w:rPr>
              <w:t>Clasa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7324" w:type="dxa"/>
            <w:gridSpan w:val="6"/>
          </w:tcPr>
          <w:p w:rsidR="00C87EA6" w:rsidRDefault="00FF4F5A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a V</w:t>
            </w:r>
            <w:r w:rsidR="000646B9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III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-a</w:t>
            </w:r>
            <w:r w:rsidR="00FC38F0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 xml:space="preserve"> elevi cu DMMU sau clasa a IV</w:t>
            </w:r>
            <w:r w:rsidR="00AC39FA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-a învâțământ de masă</w:t>
            </w:r>
          </w:p>
        </w:tc>
      </w:tr>
      <w:tr w:rsidR="00C87EA6" w:rsidTr="00AC39FA">
        <w:tc>
          <w:tcPr>
            <w:tcW w:w="2592" w:type="dxa"/>
          </w:tcPr>
          <w:p w:rsidR="00C87EA6" w:rsidRDefault="00FF4F5A" w:rsidP="00406E92">
            <w:pPr>
              <w:spacing w:before="240" w:after="24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o-RO"/>
              </w:rPr>
              <w:t>Autor/Autori</w:t>
            </w:r>
          </w:p>
        </w:tc>
        <w:tc>
          <w:tcPr>
            <w:tcW w:w="7324" w:type="dxa"/>
            <w:gridSpan w:val="6"/>
          </w:tcPr>
          <w:p w:rsidR="00406E92" w:rsidRDefault="000646B9" w:rsidP="00406E92">
            <w:pPr>
              <w:spacing w:before="240" w:after="24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Bozga Ancuța Monica</w:t>
            </w:r>
          </w:p>
        </w:tc>
      </w:tr>
      <w:tr w:rsidR="00C87EA6" w:rsidTr="00AC39FA">
        <w:tc>
          <w:tcPr>
            <w:tcW w:w="2592" w:type="dxa"/>
            <w:vMerge w:val="restart"/>
          </w:tcPr>
          <w:p w:rsidR="00C87EA6" w:rsidRDefault="00FF4F5A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o-RO"/>
              </w:rPr>
              <w:t>Scopul materialului propus</w:t>
            </w:r>
          </w:p>
        </w:tc>
        <w:tc>
          <w:tcPr>
            <w:tcW w:w="1800" w:type="dxa"/>
          </w:tcPr>
          <w:p w:rsidR="00C87EA6" w:rsidRDefault="00FF4F5A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Didactic - </w:t>
            </w:r>
          </w:p>
          <w:p w:rsidR="00C87EA6" w:rsidRDefault="00FF4F5A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utilizat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clasa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elevii</w:t>
            </w:r>
            <w:proofErr w:type="spellEnd"/>
            <w:r w:rsidR="00922D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din </w:t>
            </w:r>
            <w:proofErr w:type="spellStart"/>
            <w:r w:rsidR="00922D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învățăm</w:t>
            </w:r>
            <w:r w:rsidR="00AC39F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â</w:t>
            </w:r>
            <w:r w:rsidR="00922D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ntul</w:t>
            </w:r>
            <w:proofErr w:type="spellEnd"/>
            <w:r w:rsidR="00922D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922D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mas</w:t>
            </w:r>
            <w:r w:rsidR="00AC39F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ă</w:t>
            </w:r>
            <w:proofErr w:type="spellEnd"/>
            <w:r w:rsidR="00922D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22D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="00922D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din </w:t>
            </w:r>
            <w:proofErr w:type="spellStart"/>
            <w:r w:rsidR="00922D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învățăm</w:t>
            </w:r>
            <w:r w:rsidR="00AC39F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â</w:t>
            </w:r>
            <w:r w:rsidR="00922D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ntul</w:t>
            </w:r>
            <w:proofErr w:type="spellEnd"/>
            <w:r w:rsidR="00922D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special</w:t>
            </w:r>
          </w:p>
        </w:tc>
        <w:tc>
          <w:tcPr>
            <w:tcW w:w="1350" w:type="dxa"/>
          </w:tcPr>
          <w:p w:rsidR="00C87EA6" w:rsidRDefault="00FF4F5A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elev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–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utilizat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elev</w:t>
            </w:r>
            <w:proofErr w:type="spellEnd"/>
          </w:p>
        </w:tc>
        <w:tc>
          <w:tcPr>
            <w:tcW w:w="1710" w:type="dxa"/>
            <w:gridSpan w:val="2"/>
          </w:tcPr>
          <w:p w:rsidR="00C87EA6" w:rsidRDefault="00FF4F5A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documentare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617" w:type="dxa"/>
          </w:tcPr>
          <w:p w:rsidR="00C87EA6" w:rsidRDefault="00FF4F5A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De management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educațional</w:t>
            </w:r>
            <w:proofErr w:type="spellEnd"/>
          </w:p>
        </w:tc>
        <w:tc>
          <w:tcPr>
            <w:tcW w:w="847" w:type="dxa"/>
          </w:tcPr>
          <w:p w:rsidR="00C87EA6" w:rsidRDefault="00FF4F5A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Altele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.............. .............. .......... ..........</w:t>
            </w:r>
          </w:p>
        </w:tc>
      </w:tr>
      <w:tr w:rsidR="00C87EA6" w:rsidTr="00AC39FA">
        <w:tc>
          <w:tcPr>
            <w:tcW w:w="2592" w:type="dxa"/>
            <w:vMerge/>
          </w:tcPr>
          <w:p w:rsidR="00C87EA6" w:rsidRDefault="00C87EA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87EA6" w:rsidRDefault="00FC38F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27" w:type="dxa"/>
            <w:gridSpan w:val="2"/>
          </w:tcPr>
          <w:p w:rsidR="00C87EA6" w:rsidRDefault="00922D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3" w:type="dxa"/>
          </w:tcPr>
          <w:p w:rsidR="00C87EA6" w:rsidRDefault="00922D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17" w:type="dxa"/>
          </w:tcPr>
          <w:p w:rsidR="00C87EA6" w:rsidRDefault="00922D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C87EA6" w:rsidRDefault="00922D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C87EA6">
        <w:tc>
          <w:tcPr>
            <w:tcW w:w="9916" w:type="dxa"/>
            <w:gridSpan w:val="7"/>
            <w:shd w:val="clear" w:color="auto" w:fill="9CC2E5" w:themeFill="accent1" w:themeFillTint="99"/>
          </w:tcPr>
          <w:p w:rsidR="00C87EA6" w:rsidRDefault="00FF4F5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o-RO"/>
              </w:rPr>
              <w:t>II. Prezentarea resursei educaționale deschise</w:t>
            </w:r>
          </w:p>
        </w:tc>
      </w:tr>
      <w:tr w:rsidR="000646B9" w:rsidTr="00AC39FA">
        <w:tc>
          <w:tcPr>
            <w:tcW w:w="2592" w:type="dxa"/>
          </w:tcPr>
          <w:p w:rsidR="000646B9" w:rsidRDefault="000646B9" w:rsidP="000646B9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Competența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specifică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vizată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Indicatori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performanță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vertAlign w:val="superscript"/>
                <w:lang w:val="ro-RO"/>
              </w:rPr>
              <w:t>3</w:t>
            </w:r>
          </w:p>
        </w:tc>
        <w:tc>
          <w:tcPr>
            <w:tcW w:w="7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6B9" w:rsidRPr="00EF0DC5" w:rsidRDefault="000646B9" w:rsidP="000646B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Utilizarea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algoritmi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calcul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matematic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plan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concret-obiectual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imagistic</w:t>
            </w:r>
          </w:p>
        </w:tc>
      </w:tr>
      <w:tr w:rsidR="000646B9" w:rsidTr="00AC39FA">
        <w:tc>
          <w:tcPr>
            <w:tcW w:w="2592" w:type="dxa"/>
          </w:tcPr>
          <w:p w:rsidR="000646B9" w:rsidRDefault="000646B9" w:rsidP="000646B9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resursei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completat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exclusiv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resurse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video)</w:t>
            </w:r>
          </w:p>
        </w:tc>
        <w:tc>
          <w:tcPr>
            <w:tcW w:w="7324" w:type="dxa"/>
            <w:gridSpan w:val="6"/>
          </w:tcPr>
          <w:p w:rsidR="000646B9" w:rsidRDefault="000646B9" w:rsidP="000646B9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Suită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activități</w:t>
            </w:r>
            <w:proofErr w:type="spellEnd"/>
            <w:r w:rsidR="00406E9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(20 min)</w:t>
            </w:r>
          </w:p>
        </w:tc>
      </w:tr>
      <w:tr w:rsidR="000646B9" w:rsidTr="00AC39FA">
        <w:tc>
          <w:tcPr>
            <w:tcW w:w="2592" w:type="dxa"/>
          </w:tcPr>
          <w:p w:rsidR="000646B9" w:rsidRDefault="000646B9" w:rsidP="000646B9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Scurtă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prezentare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resursei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educaționale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deschise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propuse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(10-15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rânduri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38F0" w:rsidRPr="00FC38F0" w:rsidRDefault="00FC38F0" w:rsidP="00FC38F0">
            <w:pPr>
              <w:spacing w:line="480" w:lineRule="auto"/>
              <w:jc w:val="left"/>
              <w:rPr>
                <w:rFonts w:ascii="Times New Roman" w:eastAsia="Calibri" w:hAnsi="Times New Roman" w:cs="Times New Roman"/>
                <w:b/>
                <w:lang w:val="ro-RO"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linkul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resursei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:</w:t>
            </w:r>
            <w:r w:rsidRPr="00FC38F0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Pr="00FC38F0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ro-RO" w:eastAsia="en-US"/>
                </w:rPr>
                <w:t>https://drive.google.com/file/d/1TJ4YT2KfBE9QB2R8gzKP7foz9uYQwIA-/view?usp=share_link</w:t>
              </w:r>
            </w:hyperlink>
          </w:p>
          <w:p w:rsidR="000646B9" w:rsidRPr="00EF0DC5" w:rsidRDefault="000646B9" w:rsidP="000646B9">
            <w:pPr>
              <w:tabs>
                <w:tab w:val="left" w:pos="6167"/>
              </w:tabs>
              <w:spacing w:line="360" w:lineRule="auto"/>
              <w:ind w:right="58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Resursa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un  material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p</w:t>
            </w:r>
            <w:r w:rsidR="00AC39FA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df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conține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informații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teoretice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exerciții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realizate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platforma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 learningApps.org 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wordwall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.</w:t>
            </w:r>
          </w:p>
          <w:p w:rsidR="000646B9" w:rsidRPr="00EF0DC5" w:rsidRDefault="000646B9" w:rsidP="000646B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Este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c</w:t>
            </w:r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oncepută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elevii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cerințe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educaționale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speciale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cadrul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ariei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curriculare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Terapie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Educațională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Complexă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Integrată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C39FA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din</w:t>
            </w:r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modulul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Stimulare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Cognitivă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dar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are un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caracter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interdisciplinar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poate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fi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utilizată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alte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discipline: MEM,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Educație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financiară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Consiliere</w:t>
            </w:r>
            <w:proofErr w:type="spellEnd"/>
            <w:r w:rsidRPr="00EF0DC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, etc.</w:t>
            </w:r>
          </w:p>
          <w:p w:rsidR="000646B9" w:rsidRPr="00EF0DC5" w:rsidRDefault="000646B9" w:rsidP="000646B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Activități</w:t>
            </w:r>
            <w:proofErr w:type="spellEnd"/>
            <w:r w:rsidRPr="00EF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EF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învățare</w:t>
            </w:r>
            <w:proofErr w:type="spellEnd"/>
            <w:r w:rsidRPr="00EF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0646B9" w:rsidRPr="0023071E" w:rsidRDefault="000646B9" w:rsidP="000646B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3071E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 xml:space="preserve">Scopul resursei </w:t>
            </w:r>
            <w:r w:rsidRPr="0023071E">
              <w:rPr>
                <w:rFonts w:ascii="Times New Roman" w:eastAsia="Arial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3071E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este acela de formare a autonomiei personale, de </w:t>
            </w:r>
            <w:r w:rsidRPr="0023071E">
              <w:rPr>
                <w:rFonts w:ascii="Times New Roman" w:hAnsi="Times New Roman"/>
                <w:sz w:val="24"/>
                <w:szCs w:val="24"/>
              </w:rPr>
              <w:t>familiarizare cu noțiunile de „monedă” și „bancnotă” și utili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  <w:r w:rsidR="00AC39FA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acestora în scop practic. Elevii efectueză </w:t>
            </w:r>
            <w:r w:rsidRPr="0023071E">
              <w:rPr>
                <w:rFonts w:ascii="Times New Roman" w:hAnsi="Times New Roman"/>
                <w:sz w:val="24"/>
                <w:szCs w:val="24"/>
              </w:rPr>
              <w:t xml:space="preserve"> calcule folosind unităţi monetare diferite</w:t>
            </w:r>
            <w:r w:rsidR="00AC39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46B9" w:rsidRPr="00EF0DC5" w:rsidRDefault="000646B9" w:rsidP="000646B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46B9" w:rsidTr="00AC39FA">
        <w:tc>
          <w:tcPr>
            <w:tcW w:w="2592" w:type="dxa"/>
          </w:tcPr>
          <w:p w:rsidR="000646B9" w:rsidRDefault="000646B9" w:rsidP="000646B9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lastRenderedPageBreak/>
              <w:t>Elemente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agregate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(link-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uri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resursele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utilizate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ca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părți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componente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construcția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resursei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acolo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unde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24" w:type="dxa"/>
            <w:gridSpan w:val="6"/>
          </w:tcPr>
          <w:p w:rsidR="000646B9" w:rsidRPr="000646B9" w:rsidRDefault="000646B9" w:rsidP="000646B9">
            <w:pPr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646B9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-</w:t>
            </w:r>
            <w:r w:rsidRPr="000646B9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ab/>
              <w:t>Imaginile folosite sunt cele utilizate de site-ul Learningapps și wordwall.</w:t>
            </w:r>
          </w:p>
          <w:p w:rsidR="000646B9" w:rsidRDefault="000646B9" w:rsidP="000646B9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646B9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-</w:t>
            </w:r>
            <w:r w:rsidRPr="000646B9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ab/>
              <w:t>Imagini cu bancnote și monede preluate de pe internet</w:t>
            </w:r>
          </w:p>
        </w:tc>
      </w:tr>
      <w:tr w:rsidR="000646B9">
        <w:tc>
          <w:tcPr>
            <w:tcW w:w="9916" w:type="dxa"/>
            <w:gridSpan w:val="7"/>
            <w:shd w:val="clear" w:color="auto" w:fill="9CC2E5" w:themeFill="accent1" w:themeFillTint="99"/>
          </w:tcPr>
          <w:p w:rsidR="000646B9" w:rsidRDefault="000646B9" w:rsidP="000646B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Comentarii</w:t>
            </w:r>
            <w:proofErr w:type="spellEnd"/>
          </w:p>
        </w:tc>
      </w:tr>
      <w:tr w:rsidR="000646B9" w:rsidTr="00AC39FA">
        <w:tc>
          <w:tcPr>
            <w:tcW w:w="2592" w:type="dxa"/>
          </w:tcPr>
          <w:p w:rsidR="000646B9" w:rsidRDefault="000646B9" w:rsidP="000646B9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aspecte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utile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împărtășit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utilizarea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resursei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educaționale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deschise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(10-12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rânduri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recomandări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precizări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reflecții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despre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modalitățile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utilizare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resursei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educaționale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deschise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24" w:type="dxa"/>
            <w:gridSpan w:val="6"/>
          </w:tcPr>
          <w:p w:rsidR="000646B9" w:rsidRPr="000646B9" w:rsidRDefault="000646B9" w:rsidP="00922D6F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Resursa</w:t>
            </w:r>
            <w:proofErr w:type="spellEnd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este</w:t>
            </w:r>
            <w:proofErr w:type="spellEnd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centrată</w:t>
            </w:r>
            <w:proofErr w:type="spellEnd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pe</w:t>
            </w:r>
            <w:proofErr w:type="spellEnd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activitatea</w:t>
            </w:r>
            <w:proofErr w:type="spellEnd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elevului</w:t>
            </w:r>
            <w:proofErr w:type="spellEnd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autoevaluarea</w:t>
            </w:r>
            <w:proofErr w:type="spellEnd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este</w:t>
            </w:r>
            <w:proofErr w:type="spellEnd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obiectivă</w:t>
            </w:r>
            <w:proofErr w:type="spellEnd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iar</w:t>
            </w:r>
            <w:proofErr w:type="spellEnd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caracterul</w:t>
            </w:r>
            <w:proofErr w:type="spellEnd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ludic </w:t>
            </w:r>
            <w:proofErr w:type="spellStart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asigură</w:t>
            </w:r>
            <w:proofErr w:type="spellEnd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atractivitatea</w:t>
            </w:r>
            <w:proofErr w:type="spellEnd"/>
            <w:r w:rsidRPr="000646B9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0646B9" w:rsidRPr="00390200" w:rsidRDefault="000646B9" w:rsidP="00922D6F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39020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Dezvoltă abilități practice din viața re</w:t>
            </w:r>
            <w:r w:rsidR="00922D6F" w:rsidRPr="0039020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al</w:t>
            </w:r>
            <w:r w:rsidR="00922D6F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 xml:space="preserve">ă, </w:t>
            </w:r>
            <w:r w:rsidRPr="0039020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de formare </w:t>
            </w:r>
            <w:r w:rsidR="00676D49" w:rsidRPr="0039020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a a</w:t>
            </w:r>
            <w:r w:rsidRPr="0039020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utonomiei personale</w:t>
            </w:r>
            <w:r w:rsidR="00922D6F" w:rsidRPr="0039020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și </w:t>
            </w:r>
            <w:r w:rsidR="00676D49" w:rsidRPr="0039020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deprinderi de calcul matematic. </w:t>
            </w:r>
          </w:p>
          <w:p w:rsidR="00676D49" w:rsidRDefault="00676D49" w:rsidP="00922D6F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Are un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caracter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interdisciplinar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fi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folosită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atât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orelor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de</w:t>
            </w:r>
            <w:r w:rsidR="00922D6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2D6F">
              <w:rPr>
                <w:rFonts w:ascii="Times New Roman" w:eastAsia="SimSun" w:hAnsi="Times New Roman" w:cs="Times New Roman"/>
                <w:sz w:val="24"/>
                <w:szCs w:val="24"/>
              </w:rPr>
              <w:t>matematică</w:t>
            </w:r>
            <w:proofErr w:type="spellEnd"/>
            <w:r w:rsidR="00922D6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educație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financiară</w:t>
            </w:r>
            <w:proofErr w:type="spellEnd"/>
            <w:r w:rsidR="00922D6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2D6F">
              <w:rPr>
                <w:rFonts w:ascii="Times New Roman" w:eastAsia="SimSun" w:hAnsi="Times New Roman" w:cs="Times New Roman"/>
                <w:sz w:val="24"/>
                <w:szCs w:val="24"/>
              </w:rPr>
              <w:t>comsiliere</w:t>
            </w:r>
            <w:proofErr w:type="spellEnd"/>
            <w:r w:rsidR="00922D6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cât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orele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stimulare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cognitiv</w:t>
            </w:r>
            <w:r w:rsidR="00922D6F">
              <w:rPr>
                <w:rFonts w:ascii="Times New Roman" w:eastAsia="SimSun" w:hAnsi="Times New Roman" w:cs="Times New Roman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</w:tr>
    </w:tbl>
    <w:p w:rsidR="00C87EA6" w:rsidRDefault="00C87EA6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sectPr w:rsidR="00C87EA6">
      <w:footerReference w:type="default" r:id="rId9"/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9E" w:rsidRDefault="00DC089E">
      <w:r>
        <w:separator/>
      </w:r>
    </w:p>
  </w:endnote>
  <w:endnote w:type="continuationSeparator" w:id="0">
    <w:p w:rsidR="00DC089E" w:rsidRDefault="00DC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A6" w:rsidRDefault="00FF4F5A">
    <w:pPr>
      <w:jc w:val="both"/>
      <w:rPr>
        <w:rFonts w:ascii="Times New Roman" w:eastAsia="SimSun" w:hAnsi="Times New Roman" w:cs="Times New Roman"/>
        <w:sz w:val="24"/>
        <w:szCs w:val="24"/>
      </w:rPr>
    </w:pPr>
    <w:r>
      <w:rPr>
        <w:rFonts w:ascii="Times New Roman" w:eastAsia="SimSun" w:hAnsi="Times New Roman" w:cs="Times New Roman"/>
        <w:sz w:val="24"/>
        <w:szCs w:val="24"/>
      </w:rPr>
      <w:t xml:space="preserve">Nota 1 </w:t>
    </w:r>
    <w:proofErr w:type="spellStart"/>
    <w:r>
      <w:rPr>
        <w:rFonts w:ascii="Times New Roman" w:eastAsia="SimSun" w:hAnsi="Times New Roman" w:cs="Times New Roman"/>
        <w:sz w:val="24"/>
        <w:szCs w:val="24"/>
      </w:rPr>
      <w:t>și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2 – se </w:t>
    </w:r>
    <w:proofErr w:type="spellStart"/>
    <w:r>
      <w:rPr>
        <w:rFonts w:ascii="Times New Roman" w:eastAsia="SimSun" w:hAnsi="Times New Roman" w:cs="Times New Roman"/>
        <w:sz w:val="24"/>
        <w:szCs w:val="24"/>
      </w:rPr>
      <w:t>competează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cu </w:t>
    </w:r>
    <w:proofErr w:type="spellStart"/>
    <w:r>
      <w:rPr>
        <w:rFonts w:ascii="Times New Roman" w:eastAsia="SimSun" w:hAnsi="Times New Roman" w:cs="Times New Roman"/>
        <w:sz w:val="24"/>
        <w:szCs w:val="24"/>
      </w:rPr>
      <w:t>excepția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SimSun" w:hAnsi="Times New Roman" w:cs="Times New Roman"/>
        <w:sz w:val="24"/>
        <w:szCs w:val="24"/>
      </w:rPr>
      <w:t>resurselor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SimSun" w:hAnsi="Times New Roman" w:cs="Times New Roman"/>
        <w:sz w:val="24"/>
        <w:szCs w:val="24"/>
      </w:rPr>
      <w:t>destinate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SimSun" w:hAnsi="Times New Roman" w:cs="Times New Roman"/>
        <w:sz w:val="24"/>
        <w:szCs w:val="24"/>
      </w:rPr>
      <w:t>managementului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SimSun" w:hAnsi="Times New Roman" w:cs="Times New Roman"/>
        <w:sz w:val="24"/>
        <w:szCs w:val="24"/>
      </w:rPr>
      <w:t>educațional</w:t>
    </w:r>
    <w:proofErr w:type="spellEnd"/>
    <w:r>
      <w:rPr>
        <w:rFonts w:ascii="Times New Roman" w:eastAsia="SimSun" w:hAnsi="Times New Roman" w:cs="Times New Roman"/>
        <w:sz w:val="24"/>
        <w:szCs w:val="24"/>
      </w:rPr>
      <w:t>/</w:t>
    </w:r>
    <w:proofErr w:type="spellStart"/>
    <w:r>
      <w:rPr>
        <w:rFonts w:ascii="Times New Roman" w:eastAsia="SimSun" w:hAnsi="Times New Roman" w:cs="Times New Roman"/>
        <w:sz w:val="24"/>
        <w:szCs w:val="24"/>
      </w:rPr>
      <w:t>proiectelor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SimSun" w:hAnsi="Times New Roman" w:cs="Times New Roman"/>
        <w:sz w:val="24"/>
        <w:szCs w:val="24"/>
      </w:rPr>
      <w:t>europene</w:t>
    </w:r>
    <w:proofErr w:type="spellEnd"/>
    <w:r>
      <w:rPr>
        <w:rFonts w:ascii="Times New Roman" w:eastAsia="SimSun" w:hAnsi="Times New Roman" w:cs="Times New Roman"/>
        <w:sz w:val="24"/>
        <w:szCs w:val="24"/>
      </w:rPr>
      <w:t>/</w:t>
    </w:r>
    <w:proofErr w:type="spellStart"/>
    <w:r>
      <w:rPr>
        <w:rFonts w:ascii="Times New Roman" w:eastAsia="SimSun" w:hAnsi="Times New Roman" w:cs="Times New Roman"/>
        <w:sz w:val="24"/>
        <w:szCs w:val="24"/>
      </w:rPr>
      <w:t>activităților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de </w:t>
    </w:r>
    <w:proofErr w:type="spellStart"/>
    <w:r>
      <w:rPr>
        <w:rFonts w:ascii="Times New Roman" w:eastAsia="SimSun" w:hAnsi="Times New Roman" w:cs="Times New Roman"/>
        <w:sz w:val="24"/>
        <w:szCs w:val="24"/>
      </w:rPr>
      <w:t>cooperare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SimSun" w:hAnsi="Times New Roman" w:cs="Times New Roman"/>
        <w:sz w:val="24"/>
        <w:szCs w:val="24"/>
      </w:rPr>
      <w:t>internațională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</w:t>
    </w:r>
  </w:p>
  <w:p w:rsidR="00C87EA6" w:rsidRDefault="00FF4F5A">
    <w:pPr>
      <w:jc w:val="both"/>
      <w:rPr>
        <w:rFonts w:ascii="Times New Roman" w:eastAsia="SimSun" w:hAnsi="Times New Roman" w:cs="Times New Roman"/>
        <w:sz w:val="24"/>
        <w:szCs w:val="24"/>
      </w:rPr>
    </w:pPr>
    <w:r>
      <w:rPr>
        <w:rFonts w:ascii="Times New Roman" w:eastAsia="SimSun" w:hAnsi="Times New Roman" w:cs="Times New Roman"/>
        <w:sz w:val="24"/>
        <w:szCs w:val="24"/>
      </w:rPr>
      <w:t xml:space="preserve">Nota 3 – </w:t>
    </w:r>
    <w:proofErr w:type="spellStart"/>
    <w:r>
      <w:rPr>
        <w:rFonts w:ascii="Times New Roman" w:eastAsia="SimSun" w:hAnsi="Times New Roman" w:cs="Times New Roman"/>
        <w:sz w:val="24"/>
        <w:szCs w:val="24"/>
      </w:rPr>
      <w:t>pentru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RED-</w:t>
    </w:r>
    <w:proofErr w:type="spellStart"/>
    <w:r>
      <w:rPr>
        <w:rFonts w:ascii="Times New Roman" w:eastAsia="SimSun" w:hAnsi="Times New Roman" w:cs="Times New Roman"/>
        <w:sz w:val="24"/>
        <w:szCs w:val="24"/>
      </w:rPr>
      <w:t>urile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de management </w:t>
    </w:r>
    <w:proofErr w:type="spellStart"/>
    <w:r>
      <w:rPr>
        <w:rFonts w:ascii="Times New Roman" w:eastAsia="SimSun" w:hAnsi="Times New Roman" w:cs="Times New Roman"/>
        <w:sz w:val="24"/>
        <w:szCs w:val="24"/>
      </w:rPr>
      <w:t>educațional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se </w:t>
    </w:r>
    <w:proofErr w:type="spellStart"/>
    <w:r>
      <w:rPr>
        <w:rFonts w:ascii="Times New Roman" w:eastAsia="SimSun" w:hAnsi="Times New Roman" w:cs="Times New Roman"/>
        <w:sz w:val="24"/>
        <w:szCs w:val="24"/>
      </w:rPr>
      <w:t>vor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SimSun" w:hAnsi="Times New Roman" w:cs="Times New Roman"/>
        <w:sz w:val="24"/>
        <w:szCs w:val="24"/>
      </w:rPr>
      <w:t>completa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SimSun" w:hAnsi="Times New Roman" w:cs="Times New Roman"/>
        <w:sz w:val="24"/>
        <w:szCs w:val="24"/>
      </w:rPr>
      <w:t>indicatori</w:t>
    </w:r>
    <w:proofErr w:type="spellEnd"/>
    <w:r>
      <w:rPr>
        <w:rFonts w:ascii="Times New Roman" w:eastAsia="SimSun" w:hAnsi="Times New Roman" w:cs="Times New Roman"/>
        <w:sz w:val="24"/>
        <w:szCs w:val="24"/>
      </w:rPr>
      <w:t xml:space="preserve"> de </w:t>
    </w:r>
    <w:proofErr w:type="spellStart"/>
    <w:r>
      <w:rPr>
        <w:rFonts w:ascii="Times New Roman" w:eastAsia="SimSun" w:hAnsi="Times New Roman" w:cs="Times New Roman"/>
        <w:sz w:val="24"/>
        <w:szCs w:val="24"/>
      </w:rPr>
      <w:t>performanță</w:t>
    </w:r>
    <w:proofErr w:type="spellEnd"/>
  </w:p>
  <w:p w:rsidR="00C87EA6" w:rsidRDefault="00C87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9E" w:rsidRDefault="00DC089E">
      <w:r>
        <w:separator/>
      </w:r>
    </w:p>
  </w:footnote>
  <w:footnote w:type="continuationSeparator" w:id="0">
    <w:p w:rsidR="00DC089E" w:rsidRDefault="00DC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31A2"/>
    <w:multiLevelType w:val="singleLevel"/>
    <w:tmpl w:val="1E6D31A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392FC32C"/>
    <w:multiLevelType w:val="multilevel"/>
    <w:tmpl w:val="392FC3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B601869"/>
    <w:multiLevelType w:val="multilevel"/>
    <w:tmpl w:val="3B601869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992A39"/>
    <w:rsid w:val="00044298"/>
    <w:rsid w:val="00052611"/>
    <w:rsid w:val="000646B9"/>
    <w:rsid w:val="002C165E"/>
    <w:rsid w:val="00322CED"/>
    <w:rsid w:val="00390200"/>
    <w:rsid w:val="00406E92"/>
    <w:rsid w:val="0063199C"/>
    <w:rsid w:val="00676D49"/>
    <w:rsid w:val="006E4ADA"/>
    <w:rsid w:val="00845C4A"/>
    <w:rsid w:val="008D32AA"/>
    <w:rsid w:val="00922D6F"/>
    <w:rsid w:val="00A873AF"/>
    <w:rsid w:val="00AC39FA"/>
    <w:rsid w:val="00B151BF"/>
    <w:rsid w:val="00C87EA6"/>
    <w:rsid w:val="00DC089E"/>
    <w:rsid w:val="00E05B17"/>
    <w:rsid w:val="00FC38F0"/>
    <w:rsid w:val="00FF4F5A"/>
    <w:rsid w:val="3199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3BD7EC-FDE8-4C8F-828D-7DAA45B8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pPr>
      <w:suppressAutoHyphens/>
      <w:spacing w:after="200" w:line="276" w:lineRule="auto"/>
      <w:ind w:left="720"/>
      <w:jc w:val="both"/>
    </w:pPr>
    <w:rPr>
      <w:rFonts w:eastAsia="Times New Roman" w:cs="Calibri"/>
      <w:lang w:val="ro-RO" w:eastAsia="ar-SA"/>
    </w:rPr>
  </w:style>
  <w:style w:type="character" w:customStyle="1" w:styleId="ListParagraphChar">
    <w:name w:val="List Paragraph Char"/>
    <w:link w:val="ListParagraph"/>
    <w:uiPriority w:val="99"/>
    <w:rsid w:val="000646B9"/>
    <w:rPr>
      <w:rFonts w:asciiTheme="minorHAnsi" w:eastAsia="Times New Roman" w:hAnsiTheme="minorHAnsi" w:cs="Calibri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J4YT2KfBE9QB2R8gzKP7foz9uYQwIA-/view?usp=share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1611-C480-494E-8EF1-4910222E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Lyutza Lya</dc:creator>
  <cp:lastModifiedBy>RePack by Diakov</cp:lastModifiedBy>
  <cp:revision>2</cp:revision>
  <cp:lastPrinted>2023-06-14T08:11:00Z</cp:lastPrinted>
  <dcterms:created xsi:type="dcterms:W3CDTF">2023-06-16T13:09:00Z</dcterms:created>
  <dcterms:modified xsi:type="dcterms:W3CDTF">2023-06-16T13:09:00Z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47DF6F91E2204C1F9C91CFAE21719410</vt:lpwstr>
  </property>
</Properties>
</file>